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20AE" w:rsidRPr="004E78D0" w:rsidRDefault="004D20AE" w:rsidP="00FD012E">
      <w:pPr>
        <w:pStyle w:val="papertitle"/>
        <w:spacing w:after="320"/>
      </w:pPr>
      <w:r w:rsidRPr="004E78D0">
        <w:t>P</w:t>
      </w:r>
      <w:r>
        <w:t xml:space="preserve">APER </w:t>
      </w:r>
      <w:r w:rsidRPr="004E78D0">
        <w:t>T</w:t>
      </w:r>
      <w:r>
        <w:t>ITLE</w:t>
      </w:r>
      <w:r w:rsidRPr="004E78D0">
        <w:t xml:space="preserve"> (24pt, Times New Roman, upp</w:t>
      </w:r>
      <w:r w:rsidR="00FD012E">
        <w:t>er case, line spacing: Before: 0</w:t>
      </w:r>
      <w:r w:rsidRPr="004E78D0">
        <w:t>pt, after: 16pt)</w:t>
      </w:r>
    </w:p>
    <w:p w:rsidR="004D20AE" w:rsidRPr="004E78D0" w:rsidRDefault="004D20AE" w:rsidP="004D20AE">
      <w:pPr>
        <w:pStyle w:val="Author"/>
        <w:spacing w:before="160" w:after="80"/>
        <w:rPr>
          <w:rFonts w:eastAsia="Times New Roman"/>
        </w:rPr>
      </w:pPr>
      <w:r w:rsidRPr="004E78D0">
        <w:rPr>
          <w:vertAlign w:val="superscript"/>
        </w:rPr>
        <w:t>1</w:t>
      </w:r>
      <w:r>
        <w:rPr>
          <w:vertAlign w:val="superscript"/>
        </w:rPr>
        <w:t>*</w:t>
      </w:r>
      <w:r w:rsidRPr="004E78D0">
        <w:t>Name of 1</w:t>
      </w:r>
      <w:r w:rsidRPr="004E78D0">
        <w:rPr>
          <w:vertAlign w:val="superscript"/>
        </w:rPr>
        <w:t>st</w:t>
      </w:r>
      <w:r w:rsidRPr="004E78D0">
        <w:t xml:space="preserve"> Author, </w:t>
      </w:r>
      <w:r w:rsidRPr="004E78D0">
        <w:rPr>
          <w:vertAlign w:val="superscript"/>
        </w:rPr>
        <w:t>2</w:t>
      </w:r>
      <w:r w:rsidRPr="004E78D0">
        <w:t>Name of 2</w:t>
      </w:r>
      <w:r w:rsidRPr="004E78D0">
        <w:rPr>
          <w:vertAlign w:val="superscript"/>
        </w:rPr>
        <w:t>nd</w:t>
      </w:r>
      <w:r w:rsidRPr="004E78D0">
        <w:t xml:space="preserve"> Author, </w:t>
      </w:r>
      <w:r w:rsidRPr="004E78D0">
        <w:rPr>
          <w:vertAlign w:val="superscript"/>
        </w:rPr>
        <w:t>3</w:t>
      </w:r>
      <w:r w:rsidRPr="004E78D0">
        <w:t>Name of 3</w:t>
      </w:r>
      <w:r w:rsidRPr="004E78D0">
        <w:rPr>
          <w:vertAlign w:val="superscript"/>
        </w:rPr>
        <w:t>rd</w:t>
      </w:r>
      <w:r w:rsidRPr="004E78D0">
        <w:t xml:space="preserve"> Author</w:t>
      </w:r>
    </w:p>
    <w:p w:rsidR="004D20AE" w:rsidRPr="004E78D0" w:rsidRDefault="004D20AE" w:rsidP="004D20AE">
      <w:pPr>
        <w:pStyle w:val="Affiliation"/>
        <w:rPr>
          <w:rFonts w:eastAsia="Times New Roman"/>
        </w:rPr>
      </w:pPr>
      <w:r w:rsidRPr="004E78D0">
        <w:rPr>
          <w:rFonts w:eastAsia="Times New Roman"/>
          <w:vertAlign w:val="superscript"/>
        </w:rPr>
        <w:t>1</w:t>
      </w:r>
      <w:r>
        <w:rPr>
          <w:rFonts w:eastAsia="Times New Roman"/>
        </w:rPr>
        <w:t xml:space="preserve">Affiliation </w:t>
      </w:r>
      <w:r w:rsidRPr="004E78D0">
        <w:rPr>
          <w:rFonts w:eastAsia="Times New Roman"/>
        </w:rPr>
        <w:t>of 1</w:t>
      </w:r>
      <w:r w:rsidRPr="004E78D0">
        <w:rPr>
          <w:rFonts w:eastAsia="Times New Roman"/>
          <w:vertAlign w:val="superscript"/>
        </w:rPr>
        <w:t>st</w:t>
      </w:r>
      <w:r w:rsidRPr="004E78D0">
        <w:rPr>
          <w:rFonts w:eastAsia="Times New Roman"/>
        </w:rPr>
        <w:t xml:space="preserve"> Author, </w:t>
      </w:r>
      <w:r w:rsidRPr="004E78D0">
        <w:rPr>
          <w:rFonts w:eastAsia="Times New Roman"/>
          <w:vertAlign w:val="superscript"/>
        </w:rPr>
        <w:t>2</w:t>
      </w:r>
      <w:r>
        <w:rPr>
          <w:rFonts w:eastAsia="Times New Roman"/>
        </w:rPr>
        <w:t xml:space="preserve">Affiliation </w:t>
      </w:r>
      <w:r w:rsidRPr="004E78D0">
        <w:rPr>
          <w:rFonts w:eastAsia="Times New Roman"/>
        </w:rPr>
        <w:t>of 2</w:t>
      </w:r>
      <w:r w:rsidRPr="004E78D0">
        <w:rPr>
          <w:rFonts w:eastAsia="Times New Roman"/>
          <w:vertAlign w:val="superscript"/>
        </w:rPr>
        <w:t>nd</w:t>
      </w:r>
      <w:r w:rsidRPr="004E78D0">
        <w:rPr>
          <w:rFonts w:eastAsia="Times New Roman"/>
        </w:rPr>
        <w:t xml:space="preserve"> Author, </w:t>
      </w:r>
      <w:r w:rsidRPr="004E78D0">
        <w:rPr>
          <w:rFonts w:eastAsia="Times New Roman"/>
          <w:vertAlign w:val="superscript"/>
        </w:rPr>
        <w:t>3</w:t>
      </w:r>
      <w:r>
        <w:rPr>
          <w:rFonts w:eastAsia="Times New Roman"/>
        </w:rPr>
        <w:t xml:space="preserve">Affiliation </w:t>
      </w:r>
      <w:r w:rsidRPr="004E78D0">
        <w:rPr>
          <w:rFonts w:eastAsia="Times New Roman"/>
        </w:rPr>
        <w:t>of 3</w:t>
      </w:r>
      <w:r w:rsidRPr="004E78D0">
        <w:rPr>
          <w:rFonts w:eastAsia="Times New Roman"/>
          <w:vertAlign w:val="superscript"/>
        </w:rPr>
        <w:t>rd</w:t>
      </w:r>
      <w:r w:rsidRPr="004E78D0">
        <w:rPr>
          <w:rFonts w:eastAsia="Times New Roman"/>
        </w:rPr>
        <w:t xml:space="preserve"> Author</w:t>
      </w:r>
    </w:p>
    <w:p w:rsidR="004D20AE" w:rsidRPr="004A0A72" w:rsidRDefault="00A43C35" w:rsidP="004D20AE">
      <w:pPr>
        <w:pStyle w:val="Affiliation"/>
        <w:rPr>
          <w:rFonts w:eastAsia="Times New Roman"/>
        </w:rPr>
      </w:pPr>
      <w:r>
        <w:t xml:space="preserve"> </w:t>
      </w:r>
      <w:r w:rsidR="004D20AE">
        <w:t>(*Corresponding Author E-mail id:</w:t>
      </w:r>
      <w:r w:rsidR="002964B4">
        <w:t xml:space="preserve"> svabcd@gmail.com</w:t>
      </w:r>
      <w:r w:rsidR="004D20AE">
        <w:t>)</w:t>
      </w:r>
    </w:p>
    <w:p w:rsidR="00692375" w:rsidRPr="004E78D0" w:rsidRDefault="007079C8" w:rsidP="007079C8">
      <w:pPr>
        <w:jc w:val="both"/>
        <w:rPr>
          <w:sz w:val="18"/>
        </w:rPr>
      </w:pPr>
      <w:r w:rsidRPr="004E78D0">
        <w:t>________________________________________________________________________________________________________</w:t>
      </w:r>
    </w:p>
    <w:p w:rsidR="007079C8" w:rsidRPr="004E78D0" w:rsidRDefault="007079C8" w:rsidP="007079C8">
      <w:pPr>
        <w:pStyle w:val="Abstract"/>
        <w:spacing w:after="0"/>
        <w:ind w:firstLine="0"/>
        <w:rPr>
          <w:i/>
          <w:iCs/>
          <w:sz w:val="20"/>
          <w:szCs w:val="20"/>
        </w:rPr>
      </w:pPr>
    </w:p>
    <w:p w:rsidR="007079C8" w:rsidRDefault="007D522D" w:rsidP="001048C1">
      <w:pPr>
        <w:pStyle w:val="Abstract"/>
        <w:spacing w:after="0"/>
        <w:ind w:firstLine="0"/>
        <w:rPr>
          <w:rFonts w:eastAsia="Calibri"/>
          <w:b w:val="0"/>
          <w:sz w:val="20"/>
          <w:szCs w:val="20"/>
          <w:lang w:eastAsia="en-US"/>
        </w:rPr>
      </w:pPr>
      <w:r w:rsidRPr="004E78D0">
        <w:rPr>
          <w:i/>
          <w:iCs/>
          <w:sz w:val="20"/>
          <w:szCs w:val="20"/>
        </w:rPr>
        <w:t>Abstract</w:t>
      </w:r>
      <w:r w:rsidR="001611D6" w:rsidRPr="004E78D0">
        <w:rPr>
          <w:i/>
          <w:iCs/>
          <w:sz w:val="20"/>
          <w:szCs w:val="20"/>
        </w:rPr>
        <w:t>:</w:t>
      </w:r>
      <w:r w:rsidR="001611D6" w:rsidRPr="004E78D0">
        <w:rPr>
          <w:rFonts w:eastAsia="Calibri"/>
          <w:b w:val="0"/>
          <w:sz w:val="20"/>
          <w:szCs w:val="20"/>
          <w:lang w:eastAsia="en-US"/>
        </w:rPr>
        <w:t xml:space="preserve"> </w:t>
      </w:r>
      <w:r w:rsidR="0033662F">
        <w:rPr>
          <w:rFonts w:eastAsia="Calibri"/>
          <w:b w:val="0"/>
          <w:sz w:val="20"/>
          <w:szCs w:val="20"/>
          <w:lang w:eastAsia="en-US"/>
        </w:rPr>
        <w:t xml:space="preserve">Abstract should be written up to 200 words and it should focus on the main theme of the work along with important findings. </w:t>
      </w:r>
      <w:r w:rsidR="001048C1" w:rsidRPr="001048C1">
        <w:rPr>
          <w:rFonts w:eastAsia="Calibri"/>
          <w:b w:val="0"/>
          <w:sz w:val="20"/>
          <w:szCs w:val="20"/>
          <w:lang w:eastAsia="en-US"/>
        </w:rPr>
        <w:t>It becomes most important to study the vehicle vibrations for human body comfort. The model fabrication is done on the basis of comparing real human body parameters with human physical models used in the ISO 10068:2012 standard. This article revealed effect of vibration transferring to the specific parts of human body due to vibration transferring from Seat to Height (STH) and from Hands on steering. The focus of the present study was to determine the vibration output from fabricated model. The vibrations as input to the model are from automotive vehicles. The input verses output vibration characteristics will be useful to study effects of vibration on human health. The human body is considered as a simple spring, mass, damper system for analysis. This multi body model representative of the automotive postures found in the literature were investigated, one with and the other without a backrest support. The model was modified to suitably represent the different automotive postures with and without backrest supports, to the same postural conditions on the basis of the analytical study. The prepared model has been further compared with similar model provided in the literature on automotive sitting environments.</w:t>
      </w:r>
    </w:p>
    <w:p w:rsidR="001048C1" w:rsidRPr="001048C1" w:rsidRDefault="001048C1" w:rsidP="001048C1">
      <w:pPr>
        <w:pStyle w:val="Abstract"/>
        <w:spacing w:after="0"/>
        <w:ind w:firstLine="0"/>
        <w:rPr>
          <w:rFonts w:eastAsia="Calibri"/>
          <w:b w:val="0"/>
          <w:sz w:val="20"/>
          <w:szCs w:val="20"/>
          <w:lang w:eastAsia="en-US"/>
        </w:rPr>
      </w:pPr>
    </w:p>
    <w:p w:rsidR="001048C1" w:rsidRPr="001048C1" w:rsidRDefault="003D48C8" w:rsidP="001048C1">
      <w:pPr>
        <w:pStyle w:val="keywords"/>
        <w:spacing w:after="0"/>
        <w:ind w:firstLine="0"/>
        <w:rPr>
          <w:sz w:val="20"/>
          <w:szCs w:val="20"/>
        </w:rPr>
      </w:pPr>
      <w:r>
        <w:rPr>
          <w:i/>
          <w:sz w:val="20"/>
          <w:szCs w:val="20"/>
        </w:rPr>
        <w:t xml:space="preserve">Key </w:t>
      </w:r>
      <w:r w:rsidR="00A43C35">
        <w:rPr>
          <w:i/>
          <w:sz w:val="20"/>
          <w:szCs w:val="20"/>
        </w:rPr>
        <w:t>Words:</w:t>
      </w:r>
      <w:r w:rsidR="00092B52" w:rsidRPr="001048C1">
        <w:rPr>
          <w:i/>
          <w:sz w:val="20"/>
          <w:szCs w:val="20"/>
        </w:rPr>
        <w:t xml:space="preserve"> </w:t>
      </w:r>
      <w:r w:rsidR="001048C1" w:rsidRPr="001048C1">
        <w:rPr>
          <w:sz w:val="20"/>
          <w:szCs w:val="20"/>
        </w:rPr>
        <w:t>Vehicle vibrations, energy flow, human body comfort, hand-arm vibrations, hands on steering</w:t>
      </w:r>
    </w:p>
    <w:p w:rsidR="003D48C8" w:rsidRPr="003D48C8" w:rsidRDefault="007079C8" w:rsidP="003D48C8">
      <w:pPr>
        <w:pStyle w:val="keywords"/>
        <w:spacing w:after="0"/>
        <w:ind w:firstLine="0"/>
        <w:rPr>
          <w:sz w:val="20"/>
          <w:szCs w:val="20"/>
        </w:rPr>
      </w:pPr>
      <w:r w:rsidRPr="004E78D0">
        <w:rPr>
          <w:b w:val="0"/>
          <w:bCs w:val="0"/>
          <w:i/>
          <w:sz w:val="20"/>
          <w:szCs w:val="20"/>
        </w:rPr>
        <w:t>________________________________________________________________________</w:t>
      </w:r>
      <w:r w:rsidR="003D48C8">
        <w:rPr>
          <w:b w:val="0"/>
          <w:bCs w:val="0"/>
          <w:i/>
          <w:sz w:val="20"/>
          <w:szCs w:val="20"/>
        </w:rPr>
        <w:t>_______________________________</w:t>
      </w:r>
    </w:p>
    <w:p w:rsidR="005A4713" w:rsidRDefault="005A4713" w:rsidP="003D48C8">
      <w:pPr>
        <w:pStyle w:val="Heading1"/>
        <w:numPr>
          <w:ilvl w:val="0"/>
          <w:numId w:val="1"/>
        </w:numPr>
        <w:ind w:firstLine="0"/>
        <w:jc w:val="left"/>
        <w:rPr>
          <w:b/>
        </w:rPr>
        <w:sectPr w:rsidR="005A4713" w:rsidSect="004064D8">
          <w:headerReference w:type="default" r:id="rId8"/>
          <w:footerReference w:type="default" r:id="rId9"/>
          <w:type w:val="continuous"/>
          <w:pgSz w:w="11906" w:h="16838"/>
          <w:pgMar w:top="1104" w:right="734" w:bottom="1080" w:left="734" w:header="270" w:footer="432" w:gutter="0"/>
          <w:pgNumType w:start="36"/>
          <w:cols w:space="720"/>
          <w:docGrid w:linePitch="360"/>
        </w:sectPr>
      </w:pPr>
    </w:p>
    <w:p w:rsidR="00692375" w:rsidRPr="004E78D0" w:rsidRDefault="00092B52" w:rsidP="003D48C8">
      <w:pPr>
        <w:pStyle w:val="Heading1"/>
        <w:numPr>
          <w:ilvl w:val="0"/>
          <w:numId w:val="1"/>
        </w:numPr>
        <w:ind w:firstLine="0"/>
        <w:jc w:val="left"/>
        <w:rPr>
          <w:b/>
        </w:rPr>
      </w:pPr>
      <w:r w:rsidRPr="004E78D0">
        <w:rPr>
          <w:b/>
        </w:rPr>
        <w:lastRenderedPageBreak/>
        <w:t>Introduction</w:t>
      </w:r>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Page size: </w:t>
      </w:r>
      <w:r w:rsidRPr="004E78D0">
        <w:rPr>
          <w:rFonts w:eastAsia="Times New Roman"/>
          <w:color w:val="222222"/>
          <w:lang w:val="en-IN" w:eastAsia="en-US"/>
        </w:rPr>
        <w:t>A4 size only</w:t>
      </w:r>
    </w:p>
    <w:p w:rsidR="00A43C35" w:rsidRPr="004E78D0" w:rsidRDefault="00A43C35" w:rsidP="00A43C35">
      <w:pPr>
        <w:shd w:val="clear" w:color="auto" w:fill="FFFFFF"/>
        <w:suppressAutoHyphens w:val="0"/>
        <w:jc w:val="left"/>
        <w:rPr>
          <w:rFonts w:eastAsia="Times New Roman"/>
          <w:color w:val="222222"/>
          <w:lang w:val="en-IN" w:eastAsia="en-US"/>
        </w:rPr>
      </w:pPr>
      <w:r w:rsidRPr="004E78D0">
        <w:rPr>
          <w:rFonts w:eastAsia="Times New Roman"/>
          <w:b/>
          <w:bCs/>
          <w:color w:val="222222"/>
          <w:lang w:val="en-IN" w:eastAsia="en-US"/>
        </w:rPr>
        <w:t>Text Column</w:t>
      </w:r>
      <w:r w:rsidRPr="004E78D0">
        <w:rPr>
          <w:rFonts w:eastAsia="Times New Roman"/>
          <w:color w:val="222222"/>
          <w:lang w:val="en-IN" w:eastAsia="en-US"/>
        </w:rPr>
        <w:t xml:space="preserve">: </w:t>
      </w:r>
      <w:r>
        <w:rPr>
          <w:rFonts w:eastAsia="Times New Roman"/>
          <w:color w:val="222222"/>
          <w:lang w:val="en-IN" w:eastAsia="en-US"/>
        </w:rPr>
        <w:t>Double</w:t>
      </w:r>
      <w:r w:rsidRPr="004E78D0">
        <w:rPr>
          <w:rFonts w:eastAsia="Times New Roman"/>
          <w:color w:val="222222"/>
          <w:lang w:val="en-IN" w:eastAsia="en-US"/>
        </w:rPr>
        <w:t xml:space="preserve"> </w:t>
      </w:r>
      <w:r w:rsidRPr="004E78D0">
        <w:rPr>
          <w:rFonts w:eastAsia="Times New Roman"/>
          <w:b/>
          <w:color w:val="222222"/>
          <w:lang w:val="en-IN" w:eastAsia="en-US"/>
        </w:rPr>
        <w:t>texts align:  justify</w:t>
      </w:r>
    </w:p>
    <w:p w:rsidR="00A43C35" w:rsidRPr="004E78D0" w:rsidRDefault="00A43C35" w:rsidP="00A43C35">
      <w:pPr>
        <w:shd w:val="clear" w:color="auto" w:fill="FFFFFF"/>
        <w:suppressAutoHyphens w:val="0"/>
        <w:jc w:val="left"/>
        <w:rPr>
          <w:rFonts w:eastAsia="Times New Roman"/>
          <w:b/>
          <w:color w:val="222222"/>
          <w:sz w:val="19"/>
          <w:szCs w:val="19"/>
          <w:lang w:eastAsia="en-US"/>
        </w:rPr>
      </w:pPr>
      <w:r w:rsidRPr="004E78D0">
        <w:rPr>
          <w:rFonts w:eastAsia="Times New Roman"/>
          <w:b/>
          <w:color w:val="222222"/>
          <w:lang w:val="en-IN" w:eastAsia="en-US"/>
        </w:rPr>
        <w:t>Title: 24pt Times New Roman align: centre</w:t>
      </w:r>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Page Margins:</w:t>
      </w:r>
      <w:r w:rsidRPr="004E78D0">
        <w:rPr>
          <w:rFonts w:eastAsia="Times New Roman"/>
          <w:color w:val="222222"/>
          <w:lang w:val="en-IN" w:eastAsia="en-US"/>
        </w:rPr>
        <w:t xml:space="preserve">  Left – </w:t>
      </w:r>
      <w:r w:rsidR="002964B4">
        <w:rPr>
          <w:rFonts w:eastAsia="Times New Roman"/>
          <w:color w:val="222222"/>
          <w:lang w:val="en-IN" w:eastAsia="en-US"/>
        </w:rPr>
        <w:t>0.51”, Right – 0.51”, Top – 0.77</w:t>
      </w:r>
      <w:r w:rsidRPr="004E78D0">
        <w:rPr>
          <w:rFonts w:eastAsia="Times New Roman"/>
          <w:color w:val="222222"/>
          <w:lang w:val="en-IN" w:eastAsia="en-US"/>
        </w:rPr>
        <w:t>”, Bottom – 0.75”</w:t>
      </w:r>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Font:</w:t>
      </w:r>
      <w:r w:rsidRPr="004E78D0">
        <w:rPr>
          <w:rFonts w:eastAsia="Times New Roman"/>
          <w:color w:val="222222"/>
          <w:lang w:val="en-IN" w:eastAsia="en-US"/>
        </w:rPr>
        <w:t> Use Only Times New Roman for whole paper</w:t>
      </w:r>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Figure caption:</w:t>
      </w:r>
      <w:r w:rsidRPr="004E78D0">
        <w:rPr>
          <w:rFonts w:eastAsia="Times New Roman"/>
          <w:color w:val="222222"/>
          <w:lang w:val="en-IN" w:eastAsia="en-US"/>
        </w:rPr>
        <w:t xml:space="preserve"> Font size- </w:t>
      </w:r>
      <w:r w:rsidR="002964B4">
        <w:rPr>
          <w:rFonts w:eastAsia="Times New Roman"/>
          <w:color w:val="222222"/>
          <w:lang w:val="en-IN" w:eastAsia="en-US"/>
        </w:rPr>
        <w:t>8</w:t>
      </w:r>
      <w:r w:rsidRPr="004E78D0">
        <w:rPr>
          <w:rFonts w:eastAsia="Times New Roman"/>
          <w:color w:val="222222"/>
          <w:lang w:val="en-IN" w:eastAsia="en-US"/>
        </w:rPr>
        <w:t xml:space="preserve">”, lower </w:t>
      </w:r>
      <w:proofErr w:type="spellStart"/>
      <w:proofErr w:type="gramStart"/>
      <w:r w:rsidRPr="004E78D0">
        <w:rPr>
          <w:rFonts w:eastAsia="Times New Roman"/>
          <w:color w:val="222222"/>
          <w:lang w:val="en-IN" w:eastAsia="en-US"/>
        </w:rPr>
        <w:t>case</w:t>
      </w:r>
      <w:r w:rsidR="002964B4">
        <w:rPr>
          <w:rFonts w:eastAsia="Times New Roman"/>
          <w:color w:val="222222"/>
          <w:lang w:val="en-IN" w:eastAsia="en-US"/>
        </w:rPr>
        <w:t>,Bold</w:t>
      </w:r>
      <w:proofErr w:type="spellEnd"/>
      <w:proofErr w:type="gramEnd"/>
      <w:r w:rsidRPr="004E78D0">
        <w:rPr>
          <w:rFonts w:eastAsia="Times New Roman"/>
          <w:color w:val="222222"/>
          <w:lang w:val="en-IN" w:eastAsia="en-US"/>
        </w:rPr>
        <w:t xml:space="preserve"> and Write below the figure, position-</w:t>
      </w:r>
      <w:proofErr w:type="spellStart"/>
      <w:r w:rsidRPr="004E78D0">
        <w:rPr>
          <w:rFonts w:eastAsia="Times New Roman"/>
          <w:color w:val="222222"/>
          <w:lang w:val="en-IN" w:eastAsia="en-US"/>
        </w:rPr>
        <w:t>center</w:t>
      </w:r>
      <w:proofErr w:type="spellEnd"/>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Table Caption:</w:t>
      </w:r>
      <w:r w:rsidRPr="004E78D0">
        <w:rPr>
          <w:rFonts w:eastAsia="Times New Roman"/>
          <w:color w:val="222222"/>
          <w:lang w:val="en-IN" w:eastAsia="en-US"/>
        </w:rPr>
        <w:t xml:space="preserve">  Font- 10”, lower </w:t>
      </w:r>
      <w:proofErr w:type="spellStart"/>
      <w:proofErr w:type="gramStart"/>
      <w:r w:rsidRPr="004E78D0">
        <w:rPr>
          <w:rFonts w:eastAsia="Times New Roman"/>
          <w:color w:val="222222"/>
          <w:lang w:val="en-IN" w:eastAsia="en-US"/>
        </w:rPr>
        <w:t>case</w:t>
      </w:r>
      <w:r w:rsidR="002964B4">
        <w:rPr>
          <w:rFonts w:eastAsia="Times New Roman"/>
          <w:color w:val="222222"/>
          <w:lang w:val="en-IN" w:eastAsia="en-US"/>
        </w:rPr>
        <w:t>,Bold</w:t>
      </w:r>
      <w:proofErr w:type="spellEnd"/>
      <w:proofErr w:type="gramEnd"/>
      <w:r w:rsidRPr="004E78D0">
        <w:rPr>
          <w:rFonts w:eastAsia="Times New Roman"/>
          <w:color w:val="222222"/>
          <w:lang w:val="en-IN" w:eastAsia="en-US"/>
        </w:rPr>
        <w:t xml:space="preserve"> and Top of the table, position-</w:t>
      </w:r>
      <w:proofErr w:type="spellStart"/>
      <w:r w:rsidRPr="004E78D0">
        <w:rPr>
          <w:rFonts w:eastAsia="Times New Roman"/>
          <w:color w:val="222222"/>
          <w:lang w:val="en-IN" w:eastAsia="en-US"/>
        </w:rPr>
        <w:t>center</w:t>
      </w:r>
      <w:proofErr w:type="spellEnd"/>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Paragraph:</w:t>
      </w:r>
      <w:r w:rsidRPr="004E78D0">
        <w:rPr>
          <w:rFonts w:eastAsia="Times New Roman"/>
          <w:color w:val="222222"/>
          <w:lang w:val="en-IN" w:eastAsia="en-US"/>
        </w:rPr>
        <w:t> Paragraph Indentation by- 0.2”</w:t>
      </w:r>
    </w:p>
    <w:p w:rsidR="00A43C35" w:rsidRPr="004E78D0" w:rsidRDefault="00A43C35" w:rsidP="00A43C35">
      <w:pPr>
        <w:shd w:val="clear" w:color="auto" w:fill="FFFFFF"/>
        <w:suppressAutoHyphens w:val="0"/>
        <w:jc w:val="left"/>
        <w:rPr>
          <w:rFonts w:eastAsia="Times New Roman"/>
          <w:color w:val="222222"/>
          <w:sz w:val="19"/>
          <w:szCs w:val="19"/>
          <w:lang w:eastAsia="en-US"/>
        </w:rPr>
      </w:pPr>
      <w:r w:rsidRPr="004E78D0">
        <w:rPr>
          <w:rFonts w:eastAsia="Times New Roman"/>
          <w:b/>
          <w:bCs/>
          <w:color w:val="222222"/>
          <w:lang w:val="en-IN" w:eastAsia="en-US"/>
        </w:rPr>
        <w:t>Line Spacing:</w:t>
      </w:r>
      <w:r w:rsidRPr="004E78D0">
        <w:rPr>
          <w:rFonts w:eastAsia="Times New Roman"/>
          <w:color w:val="222222"/>
          <w:lang w:val="en-IN" w:eastAsia="en-US"/>
        </w:rPr>
        <w:t> single</w:t>
      </w:r>
    </w:p>
    <w:p w:rsidR="00A43C35" w:rsidRPr="004E78D0" w:rsidRDefault="00A43C35" w:rsidP="00A43C35">
      <w:pPr>
        <w:shd w:val="clear" w:color="auto" w:fill="FFFFFF"/>
        <w:suppressAutoHyphens w:val="0"/>
        <w:jc w:val="left"/>
        <w:rPr>
          <w:rFonts w:eastAsia="Times New Roman"/>
          <w:color w:val="222222"/>
          <w:lang w:val="en-IN" w:eastAsia="en-US"/>
        </w:rPr>
      </w:pPr>
      <w:r w:rsidRPr="004E78D0">
        <w:rPr>
          <w:rFonts w:eastAsia="Times New Roman"/>
          <w:b/>
          <w:bCs/>
          <w:color w:val="222222"/>
          <w:lang w:val="en-IN" w:eastAsia="en-US"/>
        </w:rPr>
        <w:t>Before</w:t>
      </w:r>
      <w:r w:rsidRPr="004E78D0">
        <w:rPr>
          <w:rFonts w:eastAsia="Times New Roman"/>
          <w:color w:val="222222"/>
          <w:lang w:val="en-IN" w:eastAsia="en-US"/>
        </w:rPr>
        <w:t>: 0” </w:t>
      </w:r>
      <w:r w:rsidRPr="004E78D0">
        <w:rPr>
          <w:rFonts w:eastAsia="Times New Roman"/>
          <w:b/>
          <w:bCs/>
          <w:color w:val="222222"/>
          <w:lang w:val="en-IN" w:eastAsia="en-US"/>
        </w:rPr>
        <w:t>After:</w:t>
      </w:r>
      <w:r w:rsidRPr="004E78D0">
        <w:rPr>
          <w:rFonts w:eastAsia="Times New Roman"/>
          <w:color w:val="222222"/>
          <w:lang w:val="en-IN" w:eastAsia="en-US"/>
        </w:rPr>
        <w:t> 0”</w:t>
      </w:r>
    </w:p>
    <w:p w:rsidR="00A43C35" w:rsidRPr="004E78D0" w:rsidRDefault="00A43C35" w:rsidP="00A43C35">
      <w:pPr>
        <w:shd w:val="clear" w:color="auto" w:fill="FFFFFF"/>
        <w:suppressAutoHyphens w:val="0"/>
        <w:jc w:val="left"/>
        <w:rPr>
          <w:rFonts w:eastAsia="Times New Roman"/>
          <w:color w:val="222222"/>
          <w:lang w:val="en-IN" w:eastAsia="en-US"/>
        </w:rPr>
      </w:pPr>
      <w:r w:rsidRPr="004E78D0">
        <w:rPr>
          <w:rFonts w:eastAsia="Times New Roman"/>
          <w:b/>
          <w:color w:val="222222"/>
          <w:lang w:val="en-IN" w:eastAsia="en-US"/>
        </w:rPr>
        <w:t>Header</w:t>
      </w:r>
      <w:r w:rsidRPr="004E78D0">
        <w:rPr>
          <w:rFonts w:eastAsia="Times New Roman"/>
          <w:color w:val="222222"/>
          <w:lang w:val="en-IN" w:eastAsia="en-US"/>
        </w:rPr>
        <w:t xml:space="preserve"> 0.3” </w:t>
      </w:r>
      <w:r w:rsidRPr="004E78D0">
        <w:rPr>
          <w:rFonts w:eastAsia="Times New Roman"/>
          <w:b/>
          <w:color w:val="222222"/>
          <w:lang w:val="en-IN" w:eastAsia="en-US"/>
        </w:rPr>
        <w:t>footer</w:t>
      </w:r>
      <w:r w:rsidRPr="004E78D0">
        <w:rPr>
          <w:rFonts w:eastAsia="Times New Roman"/>
          <w:color w:val="222222"/>
          <w:lang w:val="en-IN" w:eastAsia="en-US"/>
        </w:rPr>
        <w:t xml:space="preserve"> 0”</w:t>
      </w:r>
    </w:p>
    <w:p w:rsidR="00A43C35" w:rsidRPr="004E78D0" w:rsidRDefault="00A43C35" w:rsidP="00A43C35">
      <w:pPr>
        <w:shd w:val="clear" w:color="auto" w:fill="FFFFFF"/>
        <w:suppressAutoHyphens w:val="0"/>
        <w:jc w:val="left"/>
        <w:rPr>
          <w:rFonts w:eastAsia="Times New Roman"/>
          <w:color w:val="222222"/>
          <w:sz w:val="19"/>
          <w:szCs w:val="19"/>
          <w:lang w:eastAsia="en-US"/>
        </w:rPr>
      </w:pPr>
    </w:p>
    <w:p w:rsidR="00A43C35" w:rsidRPr="004E78D0" w:rsidRDefault="00A43C35" w:rsidP="00A43C35">
      <w:pPr>
        <w:pStyle w:val="BodyText"/>
        <w:ind w:firstLine="0"/>
      </w:pPr>
      <w:r w:rsidRPr="004E78D0">
        <w:t>All</w:t>
      </w:r>
      <w:r>
        <w:t xml:space="preserve"> </w:t>
      </w:r>
      <w:r w:rsidRPr="004E78D0">
        <w:t>manuscripts</w:t>
      </w:r>
      <w:r>
        <w:t xml:space="preserve"> </w:t>
      </w:r>
      <w:r w:rsidRPr="004E78D0">
        <w:t>must</w:t>
      </w:r>
      <w:r>
        <w:t xml:space="preserve"> </w:t>
      </w:r>
      <w:r w:rsidRPr="004E78D0">
        <w:t>be</w:t>
      </w:r>
      <w:r>
        <w:t xml:space="preserve"> </w:t>
      </w:r>
      <w:r w:rsidRPr="004E78D0">
        <w:t>in</w:t>
      </w:r>
      <w:r>
        <w:t xml:space="preserve"> </w:t>
      </w:r>
      <w:r w:rsidRPr="004E78D0">
        <w:t>English.</w:t>
      </w:r>
      <w:r>
        <w:t xml:space="preserve"> </w:t>
      </w:r>
      <w:r w:rsidRPr="004E78D0">
        <w:t>These</w:t>
      </w:r>
      <w:r>
        <w:t xml:space="preserve"> </w:t>
      </w:r>
      <w:r w:rsidRPr="004E78D0">
        <w:t>guidelines</w:t>
      </w:r>
      <w:r>
        <w:t xml:space="preserve"> </w:t>
      </w:r>
      <w:r w:rsidRPr="004E78D0">
        <w:t>include</w:t>
      </w:r>
      <w:r>
        <w:t xml:space="preserve"> </w:t>
      </w:r>
      <w:r w:rsidRPr="004E78D0">
        <w:t>complete</w:t>
      </w:r>
      <w:r>
        <w:t xml:space="preserve"> </w:t>
      </w:r>
      <w:r w:rsidRPr="004E78D0">
        <w:t>descriptions</w:t>
      </w:r>
      <w:r>
        <w:t xml:space="preserve"> </w:t>
      </w:r>
      <w:r w:rsidRPr="004E78D0">
        <w:t>of</w:t>
      </w:r>
      <w:r>
        <w:t xml:space="preserve"> </w:t>
      </w:r>
      <w:r w:rsidRPr="004E78D0">
        <w:t>the</w:t>
      </w:r>
      <w:r>
        <w:t xml:space="preserve"> </w:t>
      </w:r>
      <w:r w:rsidRPr="004E78D0">
        <w:t>fonts,</w:t>
      </w:r>
      <w:r>
        <w:t xml:space="preserve"> </w:t>
      </w:r>
      <w:r w:rsidRPr="004E78D0">
        <w:t>spacing,</w:t>
      </w:r>
      <w:r>
        <w:t xml:space="preserve"> </w:t>
      </w:r>
      <w:r w:rsidRPr="004E78D0">
        <w:t>and</w:t>
      </w:r>
      <w:r>
        <w:t xml:space="preserve"> </w:t>
      </w:r>
      <w:r w:rsidRPr="004E78D0">
        <w:t>related</w:t>
      </w:r>
      <w:r>
        <w:t xml:space="preserve"> </w:t>
      </w:r>
      <w:r w:rsidRPr="004E78D0">
        <w:t>information</w:t>
      </w:r>
      <w:r>
        <w:t xml:space="preserve"> </w:t>
      </w:r>
      <w:r w:rsidRPr="004E78D0">
        <w:t>for</w:t>
      </w:r>
      <w:r>
        <w:t xml:space="preserve"> </w:t>
      </w:r>
      <w:r w:rsidRPr="004E78D0">
        <w:t>producing</w:t>
      </w:r>
      <w:r>
        <w:t xml:space="preserve"> </w:t>
      </w:r>
      <w:r w:rsidRPr="004E78D0">
        <w:t>your</w:t>
      </w:r>
      <w:r>
        <w:t xml:space="preserve"> </w:t>
      </w:r>
      <w:r w:rsidRPr="004E78D0">
        <w:t>proceedings</w:t>
      </w:r>
      <w:r>
        <w:t xml:space="preserve"> </w:t>
      </w:r>
      <w:r w:rsidRPr="004E78D0">
        <w:t>manuscripts.</w:t>
      </w:r>
      <w:r>
        <w:t xml:space="preserve"> </w:t>
      </w:r>
      <w:r w:rsidRPr="004E78D0">
        <w:t>Please</w:t>
      </w:r>
      <w:r>
        <w:t xml:space="preserve"> </w:t>
      </w:r>
      <w:r w:rsidRPr="004E78D0">
        <w:t>follow</w:t>
      </w:r>
      <w:r>
        <w:t xml:space="preserve"> </w:t>
      </w:r>
      <w:r w:rsidRPr="004E78D0">
        <w:t>them.</w:t>
      </w:r>
    </w:p>
    <w:p w:rsidR="00A43C35" w:rsidRPr="004E78D0" w:rsidRDefault="00A43C35" w:rsidP="00A43C35">
      <w:pPr>
        <w:pStyle w:val="BodyText"/>
        <w:ind w:firstLine="0"/>
      </w:pPr>
      <w:r w:rsidRPr="004E78D0">
        <w:t>This</w:t>
      </w:r>
      <w:r>
        <w:t xml:space="preserve"> </w:t>
      </w:r>
      <w:r w:rsidRPr="004E78D0">
        <w:t>template</w:t>
      </w:r>
      <w:r>
        <w:t xml:space="preserve"> </w:t>
      </w:r>
      <w:r w:rsidRPr="004E78D0">
        <w:t>provides</w:t>
      </w:r>
      <w:r>
        <w:t xml:space="preserve"> </w:t>
      </w:r>
      <w:r w:rsidRPr="004E78D0">
        <w:t>authors</w:t>
      </w:r>
      <w:r>
        <w:t xml:space="preserve"> </w:t>
      </w:r>
      <w:r w:rsidRPr="004E78D0">
        <w:t>with</w:t>
      </w:r>
      <w:r>
        <w:t xml:space="preserve"> </w:t>
      </w:r>
      <w:r w:rsidRPr="004E78D0">
        <w:t>most</w:t>
      </w:r>
      <w:r>
        <w:t xml:space="preserve"> </w:t>
      </w:r>
      <w:r w:rsidRPr="004E78D0">
        <w:t>of</w:t>
      </w:r>
      <w:r>
        <w:t xml:space="preserve"> </w:t>
      </w:r>
      <w:r w:rsidRPr="004E78D0">
        <w:t>the</w:t>
      </w:r>
      <w:r>
        <w:t xml:space="preserve"> </w:t>
      </w:r>
      <w:r w:rsidRPr="004E78D0">
        <w:t>formatting</w:t>
      </w:r>
      <w:r>
        <w:t xml:space="preserve"> </w:t>
      </w:r>
      <w:r w:rsidRPr="004E78D0">
        <w:t>specifications</w:t>
      </w:r>
      <w:r>
        <w:t xml:space="preserve"> </w:t>
      </w:r>
      <w:r w:rsidRPr="004E78D0">
        <w:t>needed</w:t>
      </w:r>
      <w:r>
        <w:t xml:space="preserve"> </w:t>
      </w:r>
      <w:r w:rsidRPr="004E78D0">
        <w:t>for</w:t>
      </w:r>
      <w:r>
        <w:t xml:space="preserve"> </w:t>
      </w:r>
      <w:r w:rsidRPr="004E78D0">
        <w:t>preparing</w:t>
      </w:r>
      <w:r>
        <w:t xml:space="preserve"> </w:t>
      </w:r>
      <w:r w:rsidRPr="004E78D0">
        <w:t>electronic</w:t>
      </w:r>
      <w:r>
        <w:t xml:space="preserve"> </w:t>
      </w:r>
      <w:r w:rsidRPr="004E78D0">
        <w:t>versions</w:t>
      </w:r>
      <w:r>
        <w:t xml:space="preserve"> </w:t>
      </w:r>
      <w:r w:rsidRPr="004E78D0">
        <w:t>of</w:t>
      </w:r>
      <w:r>
        <w:t xml:space="preserve"> </w:t>
      </w:r>
      <w:r w:rsidRPr="004E78D0">
        <w:t>their</w:t>
      </w:r>
      <w:r>
        <w:t xml:space="preserve"> </w:t>
      </w:r>
      <w:r w:rsidRPr="004E78D0">
        <w:t>papers.</w:t>
      </w:r>
      <w:r>
        <w:t xml:space="preserve"> </w:t>
      </w:r>
      <w:r w:rsidRPr="004E78D0">
        <w:t>Margins,</w:t>
      </w:r>
      <w:r>
        <w:t xml:space="preserve"> </w:t>
      </w:r>
      <w:r w:rsidRPr="004E78D0">
        <w:t>column</w:t>
      </w:r>
      <w:r>
        <w:t xml:space="preserve"> </w:t>
      </w:r>
      <w:r w:rsidRPr="004E78D0">
        <w:t>widths,</w:t>
      </w:r>
      <w:r>
        <w:t xml:space="preserve"> </w:t>
      </w:r>
      <w:r w:rsidRPr="004E78D0">
        <w:t>line</w:t>
      </w:r>
      <w:r>
        <w:t xml:space="preserve"> </w:t>
      </w:r>
      <w:r w:rsidRPr="004E78D0">
        <w:t>spacing,</w:t>
      </w:r>
      <w:r>
        <w:t xml:space="preserve"> </w:t>
      </w:r>
      <w:r w:rsidRPr="004E78D0">
        <w:t>and</w:t>
      </w:r>
      <w:r>
        <w:t xml:space="preserve"> </w:t>
      </w:r>
      <w:r w:rsidRPr="004E78D0">
        <w:t>type</w:t>
      </w:r>
      <w:r>
        <w:t xml:space="preserve"> </w:t>
      </w:r>
      <w:r w:rsidRPr="004E78D0">
        <w:t>styles</w:t>
      </w:r>
      <w:r>
        <w:t xml:space="preserve"> </w:t>
      </w:r>
      <w:r w:rsidRPr="004E78D0">
        <w:t>are</w:t>
      </w:r>
      <w:r>
        <w:t xml:space="preserve"> </w:t>
      </w:r>
      <w:r w:rsidRPr="004E78D0">
        <w:t>built</w:t>
      </w:r>
      <w:r>
        <w:t xml:space="preserve"> </w:t>
      </w:r>
      <w:r w:rsidRPr="004E78D0">
        <w:t>in;</w:t>
      </w:r>
      <w:r>
        <w:t xml:space="preserve"> </w:t>
      </w:r>
      <w:r w:rsidRPr="004E78D0">
        <w:t>examples</w:t>
      </w:r>
      <w:r>
        <w:t xml:space="preserve"> </w:t>
      </w:r>
      <w:r w:rsidRPr="004E78D0">
        <w:t>of</w:t>
      </w:r>
      <w:r>
        <w:t xml:space="preserve"> </w:t>
      </w:r>
      <w:r w:rsidRPr="004E78D0">
        <w:t>the</w:t>
      </w:r>
      <w:r>
        <w:t xml:space="preserve"> </w:t>
      </w:r>
      <w:r w:rsidRPr="004E78D0">
        <w:t>type</w:t>
      </w:r>
      <w:r>
        <w:t xml:space="preserve"> </w:t>
      </w:r>
      <w:r w:rsidRPr="004E78D0">
        <w:t>styles</w:t>
      </w:r>
      <w:r>
        <w:t xml:space="preserve"> </w:t>
      </w:r>
      <w:r w:rsidRPr="004E78D0">
        <w:t>are</w:t>
      </w:r>
      <w:r>
        <w:t xml:space="preserve"> </w:t>
      </w:r>
      <w:r w:rsidRPr="004E78D0">
        <w:t>provided</w:t>
      </w:r>
      <w:r>
        <w:t xml:space="preserve"> </w:t>
      </w:r>
      <w:r w:rsidRPr="004E78D0">
        <w:t>throughout</w:t>
      </w:r>
      <w:r>
        <w:t xml:space="preserve"> </w:t>
      </w:r>
      <w:r w:rsidRPr="004E78D0">
        <w:t>this</w:t>
      </w:r>
      <w:r>
        <w:t xml:space="preserve"> </w:t>
      </w:r>
      <w:r w:rsidRPr="004E78D0">
        <w:t>document</w:t>
      </w:r>
      <w:r>
        <w:t xml:space="preserve"> </w:t>
      </w:r>
      <w:r w:rsidRPr="004E78D0">
        <w:t>and</w:t>
      </w:r>
      <w:r>
        <w:t xml:space="preserve"> </w:t>
      </w:r>
      <w:r w:rsidRPr="004E78D0">
        <w:t>are</w:t>
      </w:r>
      <w:r>
        <w:t xml:space="preserve"> </w:t>
      </w:r>
      <w:r w:rsidRPr="004E78D0">
        <w:t>identified</w:t>
      </w:r>
      <w:r>
        <w:t xml:space="preserve"> initial </w:t>
      </w:r>
      <w:r w:rsidRPr="004E78D0">
        <w:t>type,</w:t>
      </w:r>
      <w:r>
        <w:t xml:space="preserve"> </w:t>
      </w:r>
      <w:r w:rsidRPr="004E78D0">
        <w:t>within</w:t>
      </w:r>
      <w:r>
        <w:t xml:space="preserve"> </w:t>
      </w:r>
      <w:r w:rsidRPr="004E78D0">
        <w:t>parentheses,</w:t>
      </w:r>
      <w:r>
        <w:t xml:space="preserve"> </w:t>
      </w:r>
      <w:r w:rsidRPr="004E78D0">
        <w:t>following</w:t>
      </w:r>
      <w:r>
        <w:t xml:space="preserve"> </w:t>
      </w:r>
      <w:r w:rsidRPr="004E78D0">
        <w:t>the</w:t>
      </w:r>
      <w:r>
        <w:t xml:space="preserve"> </w:t>
      </w:r>
      <w:r w:rsidRPr="004E78D0">
        <w:t>example.</w:t>
      </w:r>
      <w:r>
        <w:t xml:space="preserve"> </w:t>
      </w:r>
      <w:r w:rsidRPr="004E78D0">
        <w:t>PLEASE</w:t>
      </w:r>
      <w:r>
        <w:t xml:space="preserve"> </w:t>
      </w:r>
      <w:r w:rsidRPr="004E78D0">
        <w:t>DO</w:t>
      </w:r>
      <w:r>
        <w:t xml:space="preserve"> </w:t>
      </w:r>
      <w:r w:rsidRPr="004E78D0">
        <w:t>NOT</w:t>
      </w:r>
      <w:r>
        <w:t xml:space="preserve"> </w:t>
      </w:r>
      <w:r w:rsidRPr="004E78D0">
        <w:t>READJUST</w:t>
      </w:r>
      <w:r>
        <w:t xml:space="preserve"> </w:t>
      </w:r>
      <w:r w:rsidRPr="004E78D0">
        <w:t>THE</w:t>
      </w:r>
      <w:r>
        <w:t xml:space="preserve"> </w:t>
      </w:r>
      <w:r w:rsidRPr="004E78D0">
        <w:t>SEMARGINS.</w:t>
      </w:r>
      <w:r>
        <w:t xml:space="preserve"> </w:t>
      </w:r>
      <w:r w:rsidRPr="004E78D0">
        <w:t>Some</w:t>
      </w:r>
      <w:r>
        <w:t xml:space="preserve"> </w:t>
      </w:r>
      <w:r w:rsidRPr="004E78D0">
        <w:t>components,</w:t>
      </w:r>
      <w:r>
        <w:t xml:space="preserve"> </w:t>
      </w:r>
      <w:r w:rsidRPr="004E78D0">
        <w:t>such</w:t>
      </w:r>
      <w:r>
        <w:t xml:space="preserve"> </w:t>
      </w:r>
      <w:r w:rsidRPr="004E78D0">
        <w:t>as</w:t>
      </w:r>
      <w:r>
        <w:t xml:space="preserve"> </w:t>
      </w:r>
      <w:r w:rsidRPr="004E78D0">
        <w:t>multileveled</w:t>
      </w:r>
      <w:r>
        <w:t xml:space="preserve"> </w:t>
      </w:r>
      <w:r w:rsidRPr="004E78D0">
        <w:t>equations,</w:t>
      </w:r>
      <w:r>
        <w:t xml:space="preserve"> </w:t>
      </w:r>
      <w:r w:rsidRPr="004E78D0">
        <w:t>graphics,</w:t>
      </w:r>
      <w:r>
        <w:t xml:space="preserve"> </w:t>
      </w:r>
      <w:r w:rsidRPr="004E78D0">
        <w:t>and</w:t>
      </w:r>
      <w:r>
        <w:t xml:space="preserve"> </w:t>
      </w:r>
      <w:r w:rsidRPr="004E78D0">
        <w:t>tables</w:t>
      </w:r>
      <w:r>
        <w:t xml:space="preserve"> </w:t>
      </w:r>
      <w:r w:rsidRPr="004E78D0">
        <w:t>are</w:t>
      </w:r>
      <w:r>
        <w:t xml:space="preserve"> </w:t>
      </w:r>
      <w:r w:rsidRPr="004E78D0">
        <w:t>not</w:t>
      </w:r>
      <w:r>
        <w:t xml:space="preserve"> </w:t>
      </w:r>
      <w:r w:rsidRPr="004E78D0">
        <w:t>prescribed;</w:t>
      </w:r>
      <w:r>
        <w:t xml:space="preserve"> </w:t>
      </w:r>
      <w:r w:rsidRPr="004E78D0">
        <w:t>although</w:t>
      </w:r>
      <w:r>
        <w:t xml:space="preserve"> </w:t>
      </w:r>
      <w:r w:rsidRPr="004E78D0">
        <w:t>the</w:t>
      </w:r>
      <w:r>
        <w:t xml:space="preserve"> </w:t>
      </w:r>
      <w:r w:rsidRPr="004E78D0">
        <w:t>various</w:t>
      </w:r>
      <w:r>
        <w:t xml:space="preserve"> </w:t>
      </w:r>
      <w:r w:rsidRPr="004E78D0">
        <w:t>tablet</w:t>
      </w:r>
      <w:r>
        <w:t xml:space="preserve"> </w:t>
      </w:r>
      <w:r w:rsidRPr="004E78D0">
        <w:t>Ext style</w:t>
      </w:r>
      <w:r>
        <w:t xml:space="preserve">s </w:t>
      </w:r>
      <w:r w:rsidRPr="004E78D0">
        <w:t>are</w:t>
      </w:r>
      <w:r>
        <w:t xml:space="preserve"> </w:t>
      </w:r>
      <w:r w:rsidRPr="004E78D0">
        <w:t>provided.</w:t>
      </w:r>
      <w:r>
        <w:t xml:space="preserve"> </w:t>
      </w:r>
      <w:r w:rsidRPr="004E78D0">
        <w:t>The</w:t>
      </w:r>
      <w:r>
        <w:t xml:space="preserve"> </w:t>
      </w:r>
      <w:r w:rsidRPr="004E78D0">
        <w:t>formatter</w:t>
      </w:r>
      <w:r>
        <w:t xml:space="preserve"> </w:t>
      </w:r>
      <w:r w:rsidRPr="004E78D0">
        <w:t>will</w:t>
      </w:r>
      <w:r>
        <w:t xml:space="preserve"> </w:t>
      </w:r>
      <w:r w:rsidRPr="004E78D0">
        <w:t>need</w:t>
      </w:r>
      <w:r>
        <w:t xml:space="preserve"> </w:t>
      </w:r>
      <w:r w:rsidRPr="004E78D0">
        <w:t>to</w:t>
      </w:r>
      <w:r>
        <w:t xml:space="preserve"> </w:t>
      </w:r>
      <w:r w:rsidRPr="004E78D0">
        <w:t>create</w:t>
      </w:r>
      <w:r>
        <w:t xml:space="preserve"> </w:t>
      </w:r>
      <w:r w:rsidRPr="004E78D0">
        <w:t>these</w:t>
      </w:r>
      <w:r>
        <w:t xml:space="preserve"> </w:t>
      </w:r>
      <w:r w:rsidRPr="004E78D0">
        <w:t>components,</w:t>
      </w:r>
      <w:r>
        <w:t xml:space="preserve"> </w:t>
      </w:r>
      <w:r w:rsidRPr="004E78D0">
        <w:t>incorporating</w:t>
      </w:r>
      <w:r>
        <w:t xml:space="preserve"> </w:t>
      </w:r>
      <w:r w:rsidRPr="004E78D0">
        <w:t>the</w:t>
      </w:r>
      <w:r>
        <w:t xml:space="preserve"> </w:t>
      </w:r>
      <w:r w:rsidRPr="004E78D0">
        <w:t>applicable</w:t>
      </w:r>
      <w:r>
        <w:t xml:space="preserve"> </w:t>
      </w:r>
      <w:r w:rsidRPr="004E78D0">
        <w:t>criteria</w:t>
      </w:r>
      <w:r>
        <w:t xml:space="preserve"> </w:t>
      </w:r>
      <w:r w:rsidRPr="004E78D0">
        <w:t>that</w:t>
      </w:r>
      <w:r>
        <w:t xml:space="preserve"> </w:t>
      </w:r>
      <w:r w:rsidRPr="004E78D0">
        <w:t>follow.</w:t>
      </w:r>
    </w:p>
    <w:p w:rsidR="00FD012E" w:rsidRDefault="001A0B03" w:rsidP="00A43C35">
      <w:pPr>
        <w:pStyle w:val="BodyText"/>
        <w:ind w:firstLine="0"/>
      </w:pPr>
      <w:r w:rsidRPr="009503DB">
        <w:t xml:space="preserve">Mechanical vibrations generated by vibrating systems of power tools or transport vehicles can have a negative impact on the human body. Long-term exposure to vibrations can cause many disorders in the operator’s body, leading to </w:t>
      </w:r>
    </w:p>
    <w:p w:rsidR="00FD012E" w:rsidRDefault="00FD012E" w:rsidP="00A43C35">
      <w:pPr>
        <w:pStyle w:val="BodyText"/>
        <w:ind w:firstLine="0"/>
      </w:pPr>
    </w:p>
    <w:p w:rsidR="00A43C35" w:rsidRDefault="001A0B03" w:rsidP="00A43C35">
      <w:pPr>
        <w:pStyle w:val="BodyText"/>
        <w:ind w:firstLine="0"/>
      </w:pPr>
      <w:r w:rsidRPr="009503DB">
        <w:t>permanent damage. In a seated position, humans are most sensitive to full body vibrations under less frequency excitation; hence, biodynamic responses of a seated human body when exposed to vertical vibrations have receive much attention through the years. Moreover, it is important to understand the cause-effect relationships in between the vibrations transmission through the body, its health, comfort and performance. These responses have been widely assessed in terms of seat-to-head (STH) transmissibility, driving point mechanical (DPM) impedance, and apparent (AP) mass [1]. The first function refers to the motion transmission thorough the body; whereas the other two refers to the force and motion at the point of vibration input. The human body is dynamic system whose mechanical properties changes from moment to moment and from person to person. From the results of a large amount of experimental data, various mathematical models have been developed to describe human motion. According to different techniques, these models can be grouped as lumped-parameter (LP), finite element (FE), and multibody (MB) models [2].</w:t>
      </w:r>
      <w:r w:rsidR="00A43C35" w:rsidRPr="009503DB">
        <w:t>and performance. These responses have been widely assessed in terms of seat-to-head (STH) transmissibility, driving point mechanical (DPM) impedance, and apparent (AP) mass [1]. The first function refers to the motion transmission thorough the body; whereas the other two refers to the force and motion at the point of vibration input. The human body is dynamic system whose mechanical properties changes from moment to moment and from person to person. From the results of a large amount of experimental data, various mathematical models have been developed to describe human motion. According to different techniques, these models can be grouped as lumped-parameter (LP), finite element (FE), and multibody (MB) models [2].</w:t>
      </w:r>
    </w:p>
    <w:p w:rsidR="00692375" w:rsidRPr="004E78D0" w:rsidRDefault="001A0B03" w:rsidP="003D48C8">
      <w:pPr>
        <w:pStyle w:val="Heading1"/>
        <w:numPr>
          <w:ilvl w:val="0"/>
          <w:numId w:val="1"/>
        </w:numPr>
        <w:ind w:firstLine="0"/>
        <w:jc w:val="left"/>
        <w:rPr>
          <w:b/>
        </w:rPr>
      </w:pPr>
      <w:r>
        <w:rPr>
          <w:b/>
        </w:rPr>
        <w:lastRenderedPageBreak/>
        <w:t>MODELLING OF HUMAN BODY</w:t>
      </w:r>
    </w:p>
    <w:p w:rsidR="001A0B03" w:rsidRDefault="001A0B03" w:rsidP="001A0B03">
      <w:pPr>
        <w:pStyle w:val="BodyText"/>
        <w:jc w:val="center"/>
      </w:pPr>
      <w:r>
        <w:rPr>
          <w:rFonts w:eastAsia="Times New Roman"/>
          <w:b/>
          <w:noProof/>
          <w:sz w:val="24"/>
          <w:szCs w:val="24"/>
          <w:lang w:eastAsia="en-US"/>
        </w:rPr>
        <w:drawing>
          <wp:inline distT="0" distB="0" distL="0" distR="0">
            <wp:extent cx="2028825" cy="2569254"/>
            <wp:effectExtent l="19050" t="0" r="9525" b="0"/>
            <wp:docPr id="4" name="Picture 4" descr="C:\Users\win10\Desktop\6yNh0QD19hUNd6ETXHeVbL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10\Desktop\6yNh0QD19hUNd6ETXHeVbLPN.jpg"/>
                    <pic:cNvPicPr>
                      <a:picLocks noChangeAspect="1" noChangeArrowheads="1"/>
                    </pic:cNvPicPr>
                  </pic:nvPicPr>
                  <pic:blipFill>
                    <a:blip r:embed="rId10" cstate="print"/>
                    <a:srcRect l="7713" t="1418" r="5315" b="14984"/>
                    <a:stretch>
                      <a:fillRect/>
                    </a:stretch>
                  </pic:blipFill>
                  <pic:spPr bwMode="auto">
                    <a:xfrm>
                      <a:off x="0" y="0"/>
                      <a:ext cx="2028825" cy="2569254"/>
                    </a:xfrm>
                    <a:prstGeom prst="rect">
                      <a:avLst/>
                    </a:prstGeom>
                    <a:noFill/>
                    <a:ln w="9525">
                      <a:noFill/>
                      <a:miter lim="800000"/>
                      <a:headEnd/>
                      <a:tailEnd/>
                    </a:ln>
                  </pic:spPr>
                </pic:pic>
              </a:graphicData>
            </a:graphic>
          </wp:inline>
        </w:drawing>
      </w:r>
    </w:p>
    <w:p w:rsidR="001A0B03" w:rsidRPr="002964B4" w:rsidRDefault="001A0B03" w:rsidP="001A0B03">
      <w:pPr>
        <w:pStyle w:val="Caption"/>
        <w:rPr>
          <w:b/>
          <w:i w:val="0"/>
          <w:sz w:val="16"/>
          <w:szCs w:val="20"/>
        </w:rPr>
      </w:pPr>
      <w:r w:rsidRPr="002964B4">
        <w:rPr>
          <w:b/>
          <w:i w:val="0"/>
          <w:sz w:val="16"/>
          <w:szCs w:val="20"/>
        </w:rPr>
        <w:t>Fig</w:t>
      </w:r>
      <w:r w:rsidR="002964B4" w:rsidRPr="002964B4">
        <w:rPr>
          <w:b/>
          <w:i w:val="0"/>
          <w:sz w:val="16"/>
          <w:szCs w:val="20"/>
        </w:rPr>
        <w:t>.</w:t>
      </w:r>
      <w:r w:rsidRPr="002964B4">
        <w:rPr>
          <w:b/>
          <w:i w:val="0"/>
          <w:sz w:val="16"/>
          <w:szCs w:val="20"/>
        </w:rPr>
        <w:fldChar w:fldCharType="begin"/>
      </w:r>
      <w:r w:rsidRPr="002964B4">
        <w:rPr>
          <w:b/>
          <w:i w:val="0"/>
          <w:sz w:val="16"/>
          <w:szCs w:val="20"/>
        </w:rPr>
        <w:instrText xml:space="preserve"> SEQ Figure \* ARABIC </w:instrText>
      </w:r>
      <w:r w:rsidRPr="002964B4">
        <w:rPr>
          <w:b/>
          <w:i w:val="0"/>
          <w:sz w:val="16"/>
          <w:szCs w:val="20"/>
        </w:rPr>
        <w:fldChar w:fldCharType="separate"/>
      </w:r>
      <w:r w:rsidR="00B420A1" w:rsidRPr="002964B4">
        <w:rPr>
          <w:b/>
          <w:i w:val="0"/>
          <w:noProof/>
          <w:sz w:val="16"/>
          <w:szCs w:val="20"/>
        </w:rPr>
        <w:t>1</w:t>
      </w:r>
      <w:r w:rsidRPr="002964B4">
        <w:rPr>
          <w:b/>
          <w:i w:val="0"/>
          <w:sz w:val="16"/>
          <w:szCs w:val="20"/>
        </w:rPr>
        <w:fldChar w:fldCharType="end"/>
      </w:r>
      <w:r w:rsidRPr="002964B4">
        <w:rPr>
          <w:b/>
          <w:i w:val="0"/>
          <w:sz w:val="16"/>
          <w:szCs w:val="20"/>
        </w:rPr>
        <w:t xml:space="preserve"> Proposed system layout</w:t>
      </w:r>
    </w:p>
    <w:p w:rsidR="001A0B03" w:rsidRPr="001A0B03" w:rsidRDefault="001A0B03" w:rsidP="00FD012E">
      <w:pPr>
        <w:pStyle w:val="BodyText"/>
        <w:ind w:firstLine="0"/>
      </w:pPr>
      <w:r w:rsidRPr="00495DEC">
        <w:t xml:space="preserve">MB model of consist of several rigid bodies interconnected by bushing elements (rotational and translational spring-damper units), pin (2-D) and/or ball-and-socket (3D) joints. The 3-D model is designed and fabricated by comparing specifications. Then used in the study of biodynamic responses of the human body. For the responses of a seated body exposed to vertical vibrations, mathematical models </w:t>
      </w:r>
      <w:proofErr w:type="gramStart"/>
      <w:r w:rsidRPr="00495DEC">
        <w:t>was</w:t>
      </w:r>
      <w:proofErr w:type="gramEnd"/>
      <w:r w:rsidRPr="00495DEC">
        <w:t xml:space="preserve"> at least 2-D in the sagittal plane. Especially in an automotive seating environment, bouncing and pitching motions are the important factors in vehicle riding assessment. As a </w:t>
      </w:r>
      <w:proofErr w:type="gramStart"/>
      <w:r w:rsidRPr="00495DEC">
        <w:t>result</w:t>
      </w:r>
      <w:proofErr w:type="gramEnd"/>
      <w:r w:rsidRPr="00495DEC">
        <w:t xml:space="preserve"> (shown in fig number 1), a few 2-D models reaches minimal satisf</w:t>
      </w:r>
      <w:r>
        <w:t>action of the mentioned body</w:t>
      </w:r>
      <w:r w:rsidRPr="00495DEC">
        <w:t>.</w:t>
      </w:r>
    </w:p>
    <w:p w:rsidR="00692375" w:rsidRPr="00C67D6C" w:rsidRDefault="00C67D6C" w:rsidP="00C67D6C">
      <w:pPr>
        <w:pStyle w:val="Heading1"/>
        <w:numPr>
          <w:ilvl w:val="0"/>
          <w:numId w:val="1"/>
        </w:numPr>
        <w:ind w:firstLine="0"/>
        <w:jc w:val="left"/>
        <w:rPr>
          <w:b/>
        </w:rPr>
      </w:pPr>
      <w:r>
        <w:rPr>
          <w:b/>
        </w:rPr>
        <w:t>Measurements</w:t>
      </w:r>
      <w:r w:rsidRPr="00C67D6C">
        <w:rPr>
          <w:b/>
        </w:rPr>
        <w:t xml:space="preserve"> and mathematical model</w:t>
      </w:r>
    </w:p>
    <w:p w:rsidR="001A0B03" w:rsidRPr="00420013" w:rsidRDefault="001A0B03" w:rsidP="00FD012E">
      <w:pPr>
        <w:pStyle w:val="BodyText"/>
        <w:ind w:firstLine="0"/>
      </w:pPr>
      <w:r w:rsidRPr="00420013">
        <w:t>As mentioned earlier, from a few years several mathematical models for the study of biodynamic responses of a sitting bod</w:t>
      </w:r>
      <w:r>
        <w:t>y</w:t>
      </w:r>
      <w:r w:rsidRPr="00420013">
        <w:t xml:space="preserve"> are printed on the idea of individual take a look at knowledge. As part of this study, the basic assumptions and experimental data for the analysis of seated humans exposed to vertical vibrations will be studied first. Moreover, MB model, having fourteen degrees of freedom (DOFs) will be illustrated and summarized in this section of study [4].</w:t>
      </w:r>
    </w:p>
    <w:p w:rsidR="00C26B91" w:rsidRPr="004E78D0" w:rsidRDefault="00C26B91" w:rsidP="00C67D6C">
      <w:pPr>
        <w:pStyle w:val="BodyText"/>
        <w:ind w:firstLine="0"/>
      </w:pPr>
    </w:p>
    <w:p w:rsidR="00C26B91" w:rsidRPr="00C67D6C" w:rsidRDefault="00C26B91" w:rsidP="0033662F">
      <w:pPr>
        <w:spacing w:line="276" w:lineRule="auto"/>
        <w:jc w:val="both"/>
        <w:rPr>
          <w:b/>
          <w:bCs/>
        </w:rPr>
      </w:pPr>
      <w:r w:rsidRPr="004E78D0">
        <w:rPr>
          <w:b/>
          <w:bCs/>
        </w:rPr>
        <w:t>3.1</w:t>
      </w:r>
      <w:r w:rsidR="00C67D6C" w:rsidRPr="00C67D6C">
        <w:rPr>
          <w:b/>
          <w:bCs/>
        </w:rPr>
        <w:t>Measurements without Backrest Support</w:t>
      </w:r>
    </w:p>
    <w:p w:rsidR="00C67D6C" w:rsidRDefault="00C67D6C" w:rsidP="00C67D6C">
      <w:pPr>
        <w:jc w:val="both"/>
      </w:pPr>
      <w:r w:rsidRPr="00420013">
        <w:t xml:space="preserve">A variety of test data used to </w:t>
      </w:r>
      <w:proofErr w:type="gramStart"/>
      <w:r w:rsidRPr="00420013">
        <w:t>categorized</w:t>
      </w:r>
      <w:proofErr w:type="gramEnd"/>
      <w:r w:rsidRPr="00420013">
        <w:t xml:space="preserve"> the biodynamic response functions has been established by using different variety of testing conditions, most of which can be grouped in the data sets for a seated body without back rest support. Such grouping has resulted in considerable discrepancies among the data. To avoid these deficiencies, a primary conclusion was reached that any attempt to define generalized values might not be correct unless it could be defined specifically for a particular application or within a limited but well-defined range of situations. From the literature, data sets satisfying the following requirements were selected for the study of biodynamic characteristics of seated human subjects [5].</w:t>
      </w:r>
    </w:p>
    <w:p w:rsidR="00C67D6C" w:rsidRPr="00420013" w:rsidRDefault="00C67D6C" w:rsidP="00C67D6C">
      <w:pPr>
        <w:jc w:val="both"/>
      </w:pPr>
      <w:r w:rsidRPr="00420013">
        <w:t xml:space="preserve">Body masses were limited to the range within 49–94 kg; </w:t>
      </w:r>
    </w:p>
    <w:p w:rsidR="00C67D6C" w:rsidRPr="00420013" w:rsidRDefault="00C67D6C" w:rsidP="00C67D6C">
      <w:pPr>
        <w:jc w:val="both"/>
      </w:pPr>
      <w:r w:rsidRPr="00420013">
        <w:t xml:space="preserve">The feet were supported and vibrated; </w:t>
      </w:r>
    </w:p>
    <w:p w:rsidR="00C67D6C" w:rsidRPr="00420013" w:rsidRDefault="00C67D6C" w:rsidP="00C67D6C">
      <w:pPr>
        <w:jc w:val="both"/>
      </w:pPr>
      <w:r w:rsidRPr="00420013">
        <w:t xml:space="preserve">Data sets tested under vibration excitations were exposed to the vertical direction; </w:t>
      </w:r>
    </w:p>
    <w:p w:rsidR="00C67D6C" w:rsidRPr="00420013" w:rsidRDefault="00C67D6C" w:rsidP="00C67D6C">
      <w:pPr>
        <w:jc w:val="both"/>
      </w:pPr>
      <w:r w:rsidRPr="00420013">
        <w:lastRenderedPageBreak/>
        <w:t>Vibration excitation amplitudes were below 5 m/s2, the nature of excitation being specified as either sinusoidal or random;</w:t>
      </w:r>
    </w:p>
    <w:p w:rsidR="00C67D6C" w:rsidRPr="009E3C66" w:rsidRDefault="00C67D6C" w:rsidP="00C67D6C">
      <w:pPr>
        <w:jc w:val="both"/>
      </w:pPr>
      <w:r w:rsidRPr="00420013">
        <w:t>The excitation frequency range was limited to 0.5–20 Hz</w:t>
      </w:r>
      <w:r w:rsidRPr="009E3C66">
        <w:t>.</w:t>
      </w:r>
    </w:p>
    <w:p w:rsidR="00C67D6C" w:rsidRDefault="00C67D6C" w:rsidP="00C26B91">
      <w:pPr>
        <w:jc w:val="both"/>
      </w:pPr>
    </w:p>
    <w:p w:rsidR="00C26B91" w:rsidRPr="00C67D6C" w:rsidRDefault="00C67D6C" w:rsidP="0033662F">
      <w:pPr>
        <w:spacing w:line="276" w:lineRule="auto"/>
        <w:jc w:val="both"/>
        <w:rPr>
          <w:b/>
          <w:bCs/>
        </w:rPr>
      </w:pPr>
      <w:r>
        <w:rPr>
          <w:b/>
          <w:bCs/>
        </w:rPr>
        <w:t xml:space="preserve">3.2 </w:t>
      </w:r>
      <w:r w:rsidRPr="00C67D6C">
        <w:rPr>
          <w:b/>
          <w:bCs/>
        </w:rPr>
        <w:t xml:space="preserve">Measurements with Backrest Inclined 21° </w:t>
      </w:r>
    </w:p>
    <w:p w:rsidR="00C67D6C" w:rsidRPr="00C67D6C" w:rsidRDefault="00C67D6C" w:rsidP="00C67D6C">
      <w:pPr>
        <w:jc w:val="both"/>
      </w:pPr>
      <w:r w:rsidRPr="00420013">
        <w:t>In this study only the STH transmissibility data were selected to validate the targeted MB models to avoid comparisons of the response function from simulations, and data is compared with data of Experimental results: seated human body exposed to vertical vibrations without backrest support from Cho-Chung LIANG1 and Chi-Feng CHIANG1.</w:t>
      </w:r>
    </w:p>
    <w:p w:rsidR="00C26B91" w:rsidRPr="004E78D0" w:rsidRDefault="00C26B91" w:rsidP="00C26B91">
      <w:pPr>
        <w:jc w:val="both"/>
        <w:rPr>
          <w:b/>
          <w:bCs/>
        </w:rPr>
      </w:pPr>
    </w:p>
    <w:p w:rsidR="00C67D6C" w:rsidRPr="00C67D6C" w:rsidRDefault="00C26B91" w:rsidP="0033662F">
      <w:pPr>
        <w:spacing w:line="276" w:lineRule="auto"/>
        <w:jc w:val="both"/>
        <w:rPr>
          <w:b/>
          <w:bCs/>
        </w:rPr>
      </w:pPr>
      <w:r w:rsidRPr="004E78D0">
        <w:rPr>
          <w:b/>
          <w:bCs/>
        </w:rPr>
        <w:t xml:space="preserve">3.3 </w:t>
      </w:r>
      <w:r w:rsidR="00C67D6C" w:rsidRPr="00C67D6C">
        <w:rPr>
          <w:b/>
          <w:bCs/>
        </w:rPr>
        <w:t xml:space="preserve">Measurements with Backrest Inclined 12° </w:t>
      </w:r>
    </w:p>
    <w:p w:rsidR="00C67D6C" w:rsidRDefault="00C67D6C" w:rsidP="00FD012E">
      <w:pPr>
        <w:pStyle w:val="BodyText"/>
        <w:spacing w:line="276" w:lineRule="auto"/>
        <w:ind w:firstLine="0"/>
        <w:rPr>
          <w:spacing w:val="0"/>
        </w:rPr>
      </w:pPr>
      <w:r w:rsidRPr="00C67D6C">
        <w:rPr>
          <w:spacing w:val="0"/>
        </w:rPr>
        <w:t>Because of associate in nursing, incomplete information of the mechanical properties of the body, the effect of hand positions and body mass on AP mass is difficult to determine. This research studies only on the effect of the backrest angle on the biodynamic response functions. The AP mass values measured at three different back-support positions, representing a flat pan with the back unsupported, and with the back supported by a vertical backrest or an inclined backrest as mentioned in Cho-Chung LIANG1 and Chi-Feng CHIANG1.</w:t>
      </w:r>
    </w:p>
    <w:p w:rsidR="00C67D6C" w:rsidRDefault="00C67D6C" w:rsidP="00C67D6C">
      <w:pPr>
        <w:pStyle w:val="BodyText"/>
        <w:spacing w:line="276" w:lineRule="auto"/>
        <w:rPr>
          <w:spacing w:val="0"/>
        </w:rPr>
      </w:pPr>
    </w:p>
    <w:p w:rsidR="00C67D6C" w:rsidRDefault="00C67D6C" w:rsidP="00C67D6C">
      <w:pPr>
        <w:pStyle w:val="BodyText"/>
        <w:spacing w:line="276" w:lineRule="auto"/>
        <w:jc w:val="center"/>
        <w:rPr>
          <w:spacing w:val="0"/>
        </w:rPr>
      </w:pPr>
      <w:r>
        <w:rPr>
          <w:noProof/>
          <w:color w:val="000000"/>
          <w:sz w:val="24"/>
          <w:szCs w:val="24"/>
          <w:lang w:eastAsia="en-US"/>
        </w:rPr>
        <w:drawing>
          <wp:inline distT="0" distB="0" distL="0" distR="0">
            <wp:extent cx="3122647" cy="3162300"/>
            <wp:effectExtent l="19050" t="0" r="1553"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35365" t="43010" r="33260" b="19206"/>
                    <a:stretch>
                      <a:fillRect/>
                    </a:stretch>
                  </pic:blipFill>
                  <pic:spPr bwMode="auto">
                    <a:xfrm>
                      <a:off x="0" y="0"/>
                      <a:ext cx="3122647" cy="3162300"/>
                    </a:xfrm>
                    <a:prstGeom prst="rect">
                      <a:avLst/>
                    </a:prstGeom>
                    <a:noFill/>
                    <a:ln w="9525">
                      <a:noFill/>
                      <a:miter lim="800000"/>
                      <a:headEnd/>
                      <a:tailEnd/>
                    </a:ln>
                  </pic:spPr>
                </pic:pic>
              </a:graphicData>
            </a:graphic>
          </wp:inline>
        </w:drawing>
      </w:r>
    </w:p>
    <w:p w:rsidR="00C67D6C" w:rsidRPr="0033662F" w:rsidRDefault="00C67D6C" w:rsidP="00C67D6C">
      <w:pPr>
        <w:rPr>
          <w:rFonts w:cs="Lohit Hindi"/>
          <w:b/>
          <w:iCs/>
          <w:sz w:val="16"/>
        </w:rPr>
      </w:pPr>
      <w:r w:rsidRPr="0033662F">
        <w:rPr>
          <w:b/>
          <w:sz w:val="16"/>
        </w:rPr>
        <w:t>Fig</w:t>
      </w:r>
      <w:r w:rsidR="002964B4" w:rsidRPr="0033662F">
        <w:rPr>
          <w:b/>
          <w:sz w:val="16"/>
        </w:rPr>
        <w:t>.</w:t>
      </w:r>
      <w:r w:rsidRPr="0033662F">
        <w:rPr>
          <w:b/>
          <w:sz w:val="16"/>
        </w:rPr>
        <w:t xml:space="preserve">2 </w:t>
      </w:r>
      <w:r w:rsidRPr="0033662F">
        <w:rPr>
          <w:rFonts w:cs="Lohit Hindi"/>
          <w:b/>
          <w:iCs/>
          <w:sz w:val="16"/>
        </w:rPr>
        <w:t>Cho Chung Liang and Chi Feng Chiang Model</w:t>
      </w:r>
    </w:p>
    <w:p w:rsidR="005A4713" w:rsidRDefault="005A4713" w:rsidP="00C67D6C">
      <w:pPr>
        <w:pStyle w:val="BodyText"/>
        <w:spacing w:line="276" w:lineRule="auto"/>
        <w:rPr>
          <w:spacing w:val="0"/>
        </w:rPr>
      </w:pPr>
    </w:p>
    <w:p w:rsidR="00C67D6C" w:rsidRPr="00C67D6C" w:rsidRDefault="00C67D6C" w:rsidP="00FD012E">
      <w:pPr>
        <w:pStyle w:val="BodyText"/>
        <w:spacing w:line="276" w:lineRule="auto"/>
        <w:ind w:firstLine="0"/>
        <w:rPr>
          <w:spacing w:val="0"/>
        </w:rPr>
      </w:pPr>
      <w:r w:rsidRPr="00C67D6C">
        <w:rPr>
          <w:spacing w:val="0"/>
        </w:rPr>
        <w:t>As previously mentioned, the experimental studies on the biodynamic of a seated human body exposed to vertical vibrations have been widely assessed in terms of STH transmissibility, DPM impedance, and AP mass. Moreover, the support in automotive seating environments contributes to decrease muscle tensions and maintain sitting posture throughout driving.</w:t>
      </w:r>
    </w:p>
    <w:p w:rsidR="00C67D6C" w:rsidRPr="00C67D6C" w:rsidRDefault="00C67D6C" w:rsidP="00FD012E">
      <w:pPr>
        <w:pStyle w:val="BodyText"/>
        <w:spacing w:line="276" w:lineRule="auto"/>
        <w:ind w:firstLine="0"/>
        <w:rPr>
          <w:spacing w:val="0"/>
        </w:rPr>
      </w:pPr>
      <w:r w:rsidRPr="00C67D6C">
        <w:rPr>
          <w:spacing w:val="0"/>
        </w:rPr>
        <w:t>Derivations of system</w:t>
      </w:r>
      <m:oMath>
        <m:r>
          <m:rPr>
            <m:sty m:val="bi"/>
          </m:rPr>
          <w:rPr>
            <w:rFonts w:ascii="Cambria Math" w:hAnsi="Cambria Math"/>
            <w:color w:val="000000"/>
            <w:sz w:val="24"/>
            <w:szCs w:val="24"/>
          </w:rPr>
          <m:t xml:space="preserve"> </m:t>
        </m:r>
      </m:oMath>
    </w:p>
    <w:p w:rsidR="00C67D6C" w:rsidRPr="00C67D6C" w:rsidRDefault="00C67D6C" w:rsidP="00C67D6C">
      <w:pPr>
        <w:pStyle w:val="BodyText"/>
        <w:spacing w:line="276" w:lineRule="auto"/>
        <w:rPr>
          <w:spacing w:val="0"/>
        </w:rPr>
      </w:pPr>
    </w:p>
    <w:p w:rsidR="00C67D6C" w:rsidRPr="00C67D6C" w:rsidRDefault="00C67D6C" w:rsidP="00C67D6C">
      <w:pPr>
        <w:pStyle w:val="BodyText"/>
        <w:spacing w:line="276" w:lineRule="auto"/>
        <w:rPr>
          <w:spacing w:val="0"/>
        </w:rPr>
      </w:pPr>
      <w:proofErr w:type="spellStart"/>
      <w:r w:rsidRPr="00C67D6C">
        <w:rPr>
          <w:spacing w:val="0"/>
        </w:rPr>
        <w:lastRenderedPageBreak/>
        <w:t>Ceq</w:t>
      </w:r>
      <w:proofErr w:type="spellEnd"/>
      <m:oMath>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spacing w:val="0"/>
              </w:rPr>
              <m:t>C1*Cs1</m:t>
            </m:r>
          </m:num>
          <m:den>
            <m:r>
              <m:rPr>
                <m:sty m:val="p"/>
              </m:rPr>
              <w:rPr>
                <w:rFonts w:ascii="Cambria Math" w:hAnsi="Cambria Math"/>
                <w:spacing w:val="0"/>
              </w:rPr>
              <m:t>C1+Cs1</m:t>
            </m:r>
          </m:den>
        </m:f>
        <m:r>
          <m:rPr>
            <m:sty m:val="p"/>
          </m:rPr>
          <w:rPr>
            <w:rFonts w:ascii="Cambria Math" w:hAnsi="Cambria Math"/>
            <w:spacing w:val="0"/>
          </w:rPr>
          <m:t xml:space="preserve"> </m:t>
        </m:r>
      </m:oMath>
      <w:r w:rsidRPr="00C67D6C">
        <w:rPr>
          <w:spacing w:val="0"/>
        </w:rPr>
        <w:t>; Keq=</w:t>
      </w:r>
      <m:oMath>
        <m:f>
          <m:fPr>
            <m:ctrlPr>
              <w:rPr>
                <w:rFonts w:ascii="Cambria Math" w:hAnsi="Cambria Math"/>
                <w:spacing w:val="0"/>
              </w:rPr>
            </m:ctrlPr>
          </m:fPr>
          <m:num>
            <m:r>
              <m:rPr>
                <m:sty m:val="p"/>
              </m:rPr>
              <w:rPr>
                <w:rFonts w:ascii="Cambria Math" w:hAnsi="Cambria Math"/>
                <w:spacing w:val="0"/>
              </w:rPr>
              <m:t>(C12ks1+CS12k1)+K1KS1(C1+CS1)</m:t>
            </m:r>
          </m:num>
          <m:den>
            <m:r>
              <m:rPr>
                <m:sty m:val="p"/>
              </m:rPr>
              <w:rPr>
                <w:rFonts w:ascii="Cambria Math" w:hAnsi="Cambria Math"/>
                <w:spacing w:val="0"/>
              </w:rPr>
              <m:t>(K1+KS1)+S(C1+CS1)</m:t>
            </m:r>
          </m:den>
        </m:f>
      </m:oMath>
      <w:r w:rsidRPr="00C67D6C">
        <w:rPr>
          <w:spacing w:val="0"/>
        </w:rPr>
        <w:t xml:space="preserve"> ;</w:t>
      </w:r>
    </w:p>
    <w:p w:rsidR="00C67D6C" w:rsidRPr="00C67D6C" w:rsidRDefault="00C67D6C" w:rsidP="00C67D6C">
      <w:pPr>
        <w:pStyle w:val="BodyText"/>
        <w:spacing w:line="276" w:lineRule="auto"/>
        <w:rPr>
          <w:spacing w:val="0"/>
        </w:rPr>
      </w:pPr>
    </w:p>
    <w:p w:rsidR="00C67D6C" w:rsidRPr="00C67D6C" w:rsidRDefault="00C67D6C" w:rsidP="00C67D6C">
      <w:pPr>
        <w:pStyle w:val="BodyText"/>
        <w:spacing w:line="276" w:lineRule="auto"/>
        <w:rPr>
          <w:spacing w:val="0"/>
        </w:rPr>
      </w:pPr>
      <w:r w:rsidRPr="00C67D6C">
        <w:rPr>
          <w:noProof/>
          <w:spacing w:val="0"/>
          <w:lang w:eastAsia="en-US"/>
        </w:rPr>
        <w:drawing>
          <wp:inline distT="0" distB="0" distL="0" distR="0">
            <wp:extent cx="1733550" cy="219075"/>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3665" t="46790" r="15976" b="39977"/>
                    <a:stretch>
                      <a:fillRect/>
                    </a:stretch>
                  </pic:blipFill>
                  <pic:spPr bwMode="auto">
                    <a:xfrm>
                      <a:off x="0" y="0"/>
                      <a:ext cx="1733550" cy="219075"/>
                    </a:xfrm>
                    <a:prstGeom prst="rect">
                      <a:avLst/>
                    </a:prstGeom>
                    <a:noFill/>
                    <a:ln w="9525">
                      <a:noFill/>
                      <a:miter lim="800000"/>
                      <a:headEnd/>
                      <a:tailEnd/>
                    </a:ln>
                  </pic:spPr>
                </pic:pic>
              </a:graphicData>
            </a:graphic>
          </wp:inline>
        </w:drawing>
      </w:r>
    </w:p>
    <w:p w:rsidR="00C67D6C" w:rsidRPr="00C67D6C" w:rsidRDefault="00F96357" w:rsidP="00FD012E">
      <w:pPr>
        <w:pStyle w:val="BodyText"/>
        <w:spacing w:line="276" w:lineRule="auto"/>
        <w:ind w:firstLine="0"/>
        <w:rPr>
          <w:spacing w:val="0"/>
        </w:rPr>
      </w:pPr>
      <w:r>
        <w:rPr>
          <w:spacing w:val="0"/>
        </w:rPr>
        <w:t>W</w:t>
      </w:r>
      <w:r w:rsidR="00C67D6C" w:rsidRPr="00C67D6C">
        <w:rPr>
          <w:spacing w:val="0"/>
        </w:rPr>
        <w:t>here [M], [C], and [K] are the 14 × 14 mass, damping and stiffness matrices, respectively; {q} is the vector</w:t>
      </w:r>
      <w:r>
        <w:rPr>
          <w:spacing w:val="0"/>
        </w:rPr>
        <w:t xml:space="preserve"> of generalized coordinates; {</w:t>
      </w:r>
      <w:proofErr w:type="spellStart"/>
      <w:r>
        <w:rPr>
          <w:spacing w:val="0"/>
        </w:rPr>
        <w:t>f</w:t>
      </w:r>
      <w:r>
        <w:rPr>
          <w:spacing w:val="0"/>
          <w:vertAlign w:val="subscript"/>
        </w:rPr>
        <w:t>E</w:t>
      </w:r>
      <w:proofErr w:type="spellEnd"/>
      <w:r w:rsidR="00C67D6C" w:rsidRPr="00C67D6C">
        <w:rPr>
          <w:spacing w:val="0"/>
        </w:rPr>
        <w:t>} is the force vector due to external excitation.</w:t>
      </w:r>
    </w:p>
    <w:p w:rsidR="00C67D6C" w:rsidRPr="00C67D6C" w:rsidRDefault="00C67D6C" w:rsidP="00FD012E">
      <w:pPr>
        <w:pStyle w:val="BodyText"/>
        <w:spacing w:line="276" w:lineRule="auto"/>
        <w:ind w:firstLine="0"/>
        <w:rPr>
          <w:spacing w:val="0"/>
        </w:rPr>
      </w:pPr>
      <w:r w:rsidRPr="00C67D6C">
        <w:rPr>
          <w:spacing w:val="0"/>
        </w:rPr>
        <w:t>By considering model as a simple spring mass system with certain assumptions derivations for following measurements were derived.</w:t>
      </w:r>
    </w:p>
    <w:p w:rsidR="00C67D6C" w:rsidRPr="00C67D6C" w:rsidRDefault="00C67D6C" w:rsidP="00C67D6C">
      <w:pPr>
        <w:pStyle w:val="BodyText"/>
        <w:spacing w:line="276" w:lineRule="auto"/>
        <w:rPr>
          <w:spacing w:val="0"/>
        </w:rPr>
      </w:pPr>
      <w:r w:rsidRPr="00C67D6C">
        <w:rPr>
          <w:spacing w:val="0"/>
        </w:rPr>
        <w:t>(a) Measurements without backrest support</w:t>
      </w:r>
    </w:p>
    <w:p w:rsidR="00C67D6C" w:rsidRPr="00C67D6C" w:rsidRDefault="00C67D6C" w:rsidP="00C67D6C">
      <w:pPr>
        <w:pStyle w:val="BodyText"/>
        <w:spacing w:line="276" w:lineRule="auto"/>
        <w:rPr>
          <w:spacing w:val="0"/>
        </w:rPr>
      </w:pPr>
      <w:r w:rsidRPr="00C67D6C">
        <w:rPr>
          <w:spacing w:val="0"/>
        </w:rPr>
        <w:t>(b) Measurements with backrest inclined 21°</w:t>
      </w:r>
    </w:p>
    <w:p w:rsidR="00C67D6C" w:rsidRDefault="00C67D6C" w:rsidP="00C67D6C">
      <w:pPr>
        <w:pStyle w:val="BodyText"/>
        <w:spacing w:line="276" w:lineRule="auto"/>
        <w:rPr>
          <w:spacing w:val="0"/>
        </w:rPr>
      </w:pPr>
      <w:r w:rsidRPr="00C67D6C">
        <w:rPr>
          <w:spacing w:val="0"/>
        </w:rPr>
        <w:t>(c) Measurements with backrest inclined 12°</w:t>
      </w:r>
    </w:p>
    <w:p w:rsidR="002964B4" w:rsidRPr="002964B4" w:rsidRDefault="002964B4" w:rsidP="002964B4">
      <w:pPr>
        <w:pStyle w:val="Caption"/>
        <w:keepNext/>
        <w:spacing w:after="0"/>
        <w:rPr>
          <w:i w:val="0"/>
        </w:rPr>
      </w:pPr>
      <w:r w:rsidRPr="002964B4">
        <w:rPr>
          <w:b/>
          <w:i w:val="0"/>
          <w:color w:val="000000"/>
          <w:sz w:val="16"/>
          <w:szCs w:val="16"/>
        </w:rPr>
        <w:t>Table 1.</w:t>
      </w:r>
      <w:r w:rsidRPr="002964B4">
        <w:rPr>
          <w:b/>
          <w:i w:val="0"/>
          <w:color w:val="000000"/>
          <w:sz w:val="16"/>
          <w:szCs w:val="16"/>
        </w:rPr>
        <w:t xml:space="preserve"> Specifications of Engine</w:t>
      </w:r>
    </w:p>
    <w:tbl>
      <w:tblPr>
        <w:tblpPr w:leftFromText="180" w:rightFromText="180" w:vertAnchor="text" w:horzAnchor="page" w:tblpX="1186" w:tblpY="167"/>
        <w:tblW w:w="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890"/>
      </w:tblGrid>
      <w:tr w:rsidR="002964B4" w:rsidRPr="00BA7F7A" w:rsidTr="002964B4">
        <w:trPr>
          <w:trHeight w:val="206"/>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Manufacture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Rocket </w:t>
            </w:r>
            <w:proofErr w:type="spellStart"/>
            <w:r w:rsidRPr="00BA7F7A">
              <w:rPr>
                <w:color w:val="000000"/>
                <w:sz w:val="16"/>
                <w:szCs w:val="16"/>
              </w:rPr>
              <w:t>engg</w:t>
            </w:r>
            <w:proofErr w:type="spellEnd"/>
            <w:r w:rsidRPr="00BA7F7A">
              <w:rPr>
                <w:color w:val="000000"/>
                <w:sz w:val="16"/>
                <w:szCs w:val="16"/>
              </w:rPr>
              <w:t xml:space="preserve">. </w:t>
            </w:r>
            <w:proofErr w:type="spellStart"/>
            <w:r w:rsidRPr="00BA7F7A">
              <w:rPr>
                <w:color w:val="000000"/>
                <w:sz w:val="16"/>
                <w:szCs w:val="16"/>
              </w:rPr>
              <w:t>Corpn</w:t>
            </w:r>
            <w:proofErr w:type="spellEnd"/>
            <w:r w:rsidRPr="00BA7F7A">
              <w:rPr>
                <w:color w:val="000000"/>
                <w:sz w:val="16"/>
                <w:szCs w:val="16"/>
              </w:rPr>
              <w:t>. Ltd.</w:t>
            </w:r>
          </w:p>
        </w:tc>
      </w:tr>
      <w:tr w:rsidR="002964B4" w:rsidRPr="00BA7F7A" w:rsidTr="002964B4">
        <w:trPr>
          <w:trHeight w:val="170"/>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SFC</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251 g/</w:t>
            </w:r>
            <w:proofErr w:type="spellStart"/>
            <w:r w:rsidRPr="00BA7F7A">
              <w:rPr>
                <w:color w:val="000000"/>
                <w:sz w:val="16"/>
                <w:szCs w:val="16"/>
              </w:rPr>
              <w:t>kWhr</w:t>
            </w:r>
            <w:proofErr w:type="spellEnd"/>
            <w:r w:rsidRPr="00BA7F7A">
              <w:rPr>
                <w:color w:val="000000"/>
                <w:sz w:val="16"/>
                <w:szCs w:val="16"/>
              </w:rPr>
              <w:t>.</w:t>
            </w:r>
          </w:p>
        </w:tc>
      </w:tr>
      <w:tr w:rsidR="002964B4" w:rsidRPr="00BA7F7A" w:rsidTr="002964B4">
        <w:trPr>
          <w:trHeight w:val="180"/>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Rated power</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4.8 kW @ 1500 RPM</w:t>
            </w:r>
          </w:p>
        </w:tc>
      </w:tr>
      <w:tr w:rsidR="002964B4" w:rsidRPr="00BA7F7A" w:rsidTr="002964B4">
        <w:trPr>
          <w:trHeight w:val="171"/>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Standard CR</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17.5:1</w:t>
            </w:r>
          </w:p>
        </w:tc>
      </w:tr>
      <w:tr w:rsidR="002964B4" w:rsidRPr="00BA7F7A" w:rsidTr="002964B4">
        <w:trPr>
          <w:trHeight w:val="135"/>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Bore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87.5 mm</w:t>
            </w:r>
          </w:p>
        </w:tc>
      </w:tr>
      <w:tr w:rsidR="002964B4" w:rsidRPr="00BA7F7A" w:rsidTr="002964B4">
        <w:trPr>
          <w:trHeight w:val="170"/>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Stroke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110 mm</w:t>
            </w:r>
          </w:p>
        </w:tc>
      </w:tr>
      <w:tr w:rsidR="002964B4" w:rsidRPr="00BA7F7A" w:rsidTr="002964B4">
        <w:trPr>
          <w:trHeight w:val="171"/>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Injection Timing</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23</w:t>
            </w:r>
            <w:r w:rsidRPr="00BA7F7A">
              <w:rPr>
                <w:color w:val="000000"/>
                <w:sz w:val="16"/>
                <w:szCs w:val="16"/>
                <w:vertAlign w:val="superscript"/>
              </w:rPr>
              <w:t>0</w:t>
            </w:r>
            <w:r w:rsidRPr="00BA7F7A">
              <w:rPr>
                <w:color w:val="000000"/>
                <w:sz w:val="16"/>
                <w:szCs w:val="16"/>
              </w:rPr>
              <w:t xml:space="preserve"> before TDC</w:t>
            </w:r>
          </w:p>
        </w:tc>
      </w:tr>
      <w:tr w:rsidR="002964B4" w:rsidRPr="00BA7F7A" w:rsidTr="002964B4">
        <w:trPr>
          <w:trHeight w:val="171"/>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Inlet valve open </w:t>
            </w:r>
            <w:proofErr w:type="spellStart"/>
            <w:r w:rsidRPr="00BA7F7A">
              <w:rPr>
                <w:color w:val="000000"/>
                <w:sz w:val="16"/>
                <w:szCs w:val="16"/>
              </w:rPr>
              <w:t>bTDC</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4.5  </w:t>
            </w:r>
            <w:proofErr w:type="spellStart"/>
            <w:r w:rsidRPr="00BA7F7A">
              <w:rPr>
                <w:color w:val="000000"/>
                <w:sz w:val="16"/>
                <w:szCs w:val="16"/>
              </w:rPr>
              <w:t>bTDC</w:t>
            </w:r>
            <w:proofErr w:type="spellEnd"/>
          </w:p>
        </w:tc>
      </w:tr>
      <w:tr w:rsidR="002964B4" w:rsidRPr="00BA7F7A" w:rsidTr="002964B4">
        <w:trPr>
          <w:trHeight w:val="162"/>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Exhaust valve open</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35.5  </w:t>
            </w:r>
            <w:proofErr w:type="spellStart"/>
            <w:r w:rsidRPr="00BA7F7A">
              <w:rPr>
                <w:color w:val="000000"/>
                <w:sz w:val="16"/>
                <w:szCs w:val="16"/>
              </w:rPr>
              <w:t>bBDC</w:t>
            </w:r>
            <w:proofErr w:type="spellEnd"/>
          </w:p>
        </w:tc>
      </w:tr>
      <w:tr w:rsidR="002964B4" w:rsidRPr="00BA7F7A" w:rsidTr="002964B4">
        <w:trPr>
          <w:trHeight w:val="162"/>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Inlet valve close</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35.5  </w:t>
            </w:r>
            <w:proofErr w:type="spellStart"/>
            <w:r w:rsidRPr="00BA7F7A">
              <w:rPr>
                <w:color w:val="000000"/>
                <w:sz w:val="16"/>
                <w:szCs w:val="16"/>
              </w:rPr>
              <w:t>aBDC</w:t>
            </w:r>
            <w:proofErr w:type="spellEnd"/>
          </w:p>
        </w:tc>
      </w:tr>
      <w:tr w:rsidR="002964B4" w:rsidRPr="00BA7F7A" w:rsidTr="002964B4">
        <w:trPr>
          <w:trHeight w:val="260"/>
        </w:trPr>
        <w:tc>
          <w:tcPr>
            <w:tcW w:w="1656"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Exhaust valve close </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2964B4" w:rsidRPr="00BA7F7A" w:rsidRDefault="002964B4" w:rsidP="002964B4">
            <w:pPr>
              <w:rPr>
                <w:color w:val="000000"/>
                <w:sz w:val="16"/>
                <w:szCs w:val="16"/>
              </w:rPr>
            </w:pPr>
            <w:r w:rsidRPr="00BA7F7A">
              <w:rPr>
                <w:color w:val="000000"/>
                <w:sz w:val="16"/>
                <w:szCs w:val="16"/>
              </w:rPr>
              <w:t xml:space="preserve">4.5 </w:t>
            </w:r>
            <w:proofErr w:type="spellStart"/>
            <w:r w:rsidRPr="00BA7F7A">
              <w:rPr>
                <w:color w:val="000000"/>
                <w:sz w:val="16"/>
                <w:szCs w:val="16"/>
              </w:rPr>
              <w:t>aTDC</w:t>
            </w:r>
            <w:proofErr w:type="spellEnd"/>
          </w:p>
        </w:tc>
      </w:tr>
    </w:tbl>
    <w:p w:rsidR="002964B4" w:rsidRPr="00C67D6C" w:rsidRDefault="002964B4" w:rsidP="00C67D6C">
      <w:pPr>
        <w:pStyle w:val="BodyText"/>
        <w:spacing w:line="276" w:lineRule="auto"/>
        <w:rPr>
          <w:spacing w:val="0"/>
        </w:rPr>
      </w:pPr>
    </w:p>
    <w:p w:rsidR="00F96357" w:rsidRPr="00484071" w:rsidRDefault="00F96357" w:rsidP="005A4713">
      <w:pPr>
        <w:pStyle w:val="Heading1"/>
        <w:numPr>
          <w:ilvl w:val="0"/>
          <w:numId w:val="1"/>
        </w:numPr>
        <w:ind w:firstLine="0"/>
        <w:jc w:val="left"/>
        <w:rPr>
          <w:b/>
        </w:rPr>
      </w:pPr>
      <w:r w:rsidRPr="00484071">
        <w:rPr>
          <w:b/>
        </w:rPr>
        <w:t>CONCLUSION</w:t>
      </w:r>
    </w:p>
    <w:p w:rsidR="00F96357" w:rsidRPr="00144CF2" w:rsidRDefault="00F96357" w:rsidP="0033662F">
      <w:pPr>
        <w:pStyle w:val="BodyText"/>
        <w:ind w:firstLine="0"/>
        <w:rPr>
          <w:lang w:val="en-IN"/>
        </w:rPr>
      </w:pPr>
      <w:r w:rsidRPr="00793EE3">
        <w:t xml:space="preserve">A study of MB models of a fixed human body on a platform which is exposed to vertical vibrations has been implemented. The model proposed in this </w:t>
      </w:r>
      <w:r>
        <w:t>study</w:t>
      </w:r>
      <w:r w:rsidRPr="00793EE3">
        <w:t xml:space="preserve"> has been analyzed in terms of STH transmissibility</w:t>
      </w:r>
      <w:r>
        <w:t>.</w:t>
      </w:r>
      <w:r w:rsidRPr="00793EE3">
        <w:t xml:space="preserve"> </w:t>
      </w:r>
    </w:p>
    <w:p w:rsidR="00F96357" w:rsidRPr="00793EE3" w:rsidRDefault="00F96357" w:rsidP="00F96357">
      <w:pPr>
        <w:pStyle w:val="Normal1"/>
        <w:spacing w:line="240" w:lineRule="auto"/>
        <w:jc w:val="both"/>
        <w:rPr>
          <w:rFonts w:ascii="Times New Roman" w:eastAsia="SimSun" w:hAnsi="Times New Roman" w:cs="Times New Roman"/>
          <w:color w:val="auto"/>
          <w:spacing w:val="-1"/>
          <w:sz w:val="20"/>
          <w:szCs w:val="20"/>
        </w:rPr>
      </w:pPr>
      <w:r w:rsidRPr="00793EE3">
        <w:rPr>
          <w:rFonts w:ascii="Times New Roman" w:eastAsia="SimSun" w:hAnsi="Times New Roman" w:cs="Times New Roman"/>
          <w:color w:val="auto"/>
          <w:spacing w:val="-1"/>
          <w:sz w:val="20"/>
          <w:szCs w:val="20"/>
        </w:rPr>
        <w:t xml:space="preserve">From the analysis following comments can be made: </w:t>
      </w:r>
    </w:p>
    <w:p w:rsidR="00F96357" w:rsidRPr="00793EE3" w:rsidRDefault="00F96357" w:rsidP="0033662F">
      <w:pPr>
        <w:pStyle w:val="BodyText"/>
        <w:ind w:firstLine="0"/>
      </w:pPr>
      <w:r w:rsidRPr="00567309">
        <w:t>For responses of a seated body exposed to vertical vibrations, the models must be at least 2-D in the sagittal plane.</w:t>
      </w:r>
      <w:r w:rsidRPr="00793EE3">
        <w:t xml:space="preserve"> Therefore, the MB model in this study was observed when sitting both with and without backrest supports, irrespective of hand positions, while the feet were supported and allowed to vibrate. In the biodynamic analyses both models were simplified to linear systems to reduce the analytical and simulation complexities.</w:t>
      </w:r>
    </w:p>
    <w:p w:rsidR="00692375" w:rsidRDefault="00F96357" w:rsidP="0033662F">
      <w:pPr>
        <w:pStyle w:val="BodyText"/>
        <w:ind w:firstLine="0"/>
      </w:pPr>
      <w:r>
        <w:t>T</w:t>
      </w:r>
      <w:r w:rsidRPr="00793EE3">
        <w:t xml:space="preserve">he proposed model </w:t>
      </w:r>
      <w:r>
        <w:t>is</w:t>
      </w:r>
      <w:r w:rsidRPr="00793EE3">
        <w:t xml:space="preserve"> fit in different automotive sitting environments very well. It is recommended that the proposed model be used in evaluations of the biodynamic responses of a seated human body exposed to vertical vibrations in various automotive posture</w:t>
      </w:r>
      <w:bookmarkStart w:id="0" w:name="_GoBack"/>
      <w:bookmarkEnd w:id="0"/>
      <w:r w:rsidRPr="00793EE3">
        <w:t xml:space="preserve">s. </w:t>
      </w:r>
    </w:p>
    <w:p w:rsidR="00484071" w:rsidRPr="00484071" w:rsidRDefault="00484071" w:rsidP="00484071">
      <w:pPr>
        <w:pStyle w:val="BodyText"/>
        <w:rPr>
          <w:lang w:val="en-IN"/>
        </w:rPr>
      </w:pPr>
    </w:p>
    <w:p w:rsidR="00692375" w:rsidRPr="004E78D0" w:rsidRDefault="007D522D" w:rsidP="002C60BB">
      <w:pPr>
        <w:pStyle w:val="Heading1"/>
        <w:tabs>
          <w:tab w:val="clear" w:pos="0"/>
        </w:tabs>
        <w:ind w:firstLine="0"/>
        <w:jc w:val="left"/>
        <w:rPr>
          <w:b/>
        </w:rPr>
      </w:pPr>
      <w:r w:rsidRPr="004E78D0">
        <w:rPr>
          <w:b/>
        </w:rPr>
        <w:t>References</w:t>
      </w:r>
    </w:p>
    <w:p w:rsidR="00484071" w:rsidRPr="00484071" w:rsidRDefault="00C26B91" w:rsidP="00484071">
      <w:pPr>
        <w:ind w:left="270" w:hanging="270"/>
        <w:jc w:val="both"/>
      </w:pPr>
      <w:r w:rsidRPr="002964B4">
        <w:rPr>
          <w:bCs/>
        </w:rPr>
        <w:t>[1]</w:t>
      </w:r>
      <w:r w:rsidRPr="004E78D0">
        <w:rPr>
          <w:b/>
          <w:bCs/>
        </w:rPr>
        <w:t xml:space="preserve"> </w:t>
      </w:r>
      <w:r w:rsidR="00484071" w:rsidRPr="00484071">
        <w:t xml:space="preserve">Marian </w:t>
      </w:r>
      <w:proofErr w:type="spellStart"/>
      <w:r w:rsidR="00484071" w:rsidRPr="00484071">
        <w:t>Witalis</w:t>
      </w:r>
      <w:proofErr w:type="spellEnd"/>
      <w:r w:rsidR="00484071" w:rsidRPr="00484071">
        <w:t xml:space="preserve"> </w:t>
      </w:r>
      <w:proofErr w:type="spellStart"/>
      <w:r w:rsidR="00484071" w:rsidRPr="00484071">
        <w:t>dobry</w:t>
      </w:r>
      <w:proofErr w:type="spellEnd"/>
      <w:r w:rsidR="00484071" w:rsidRPr="00484071">
        <w:t xml:space="preserve"> and Tomasz </w:t>
      </w:r>
      <w:r w:rsidR="00484071">
        <w:t xml:space="preserve">Hermann 2014, </w:t>
      </w:r>
      <w:r w:rsidR="00484071" w:rsidRPr="00484071">
        <w:t>A Comparison of Human Physical Models Used in the ISO 10068:2012 Standard Bas</w:t>
      </w:r>
      <w:r w:rsidR="00484071">
        <w:t>ed on Power Distribution PART 2</w:t>
      </w:r>
      <w:r w:rsidR="00484071" w:rsidRPr="00484071">
        <w:t>, University of Technology, Institute of Applied Mechanics. Vibrations in Physical Systems, Volume 26</w:t>
      </w:r>
      <w:r w:rsidR="00484071">
        <w:t>.</w:t>
      </w:r>
    </w:p>
    <w:p w:rsidR="00484071" w:rsidRPr="00484071" w:rsidRDefault="00C26B91" w:rsidP="00484071">
      <w:pPr>
        <w:ind w:left="270" w:hanging="270"/>
        <w:jc w:val="both"/>
      </w:pPr>
      <w:r w:rsidRPr="002964B4">
        <w:rPr>
          <w:bCs/>
        </w:rPr>
        <w:t>[2]</w:t>
      </w:r>
      <w:r w:rsidRPr="004E78D0">
        <w:rPr>
          <w:b/>
          <w:bCs/>
        </w:rPr>
        <w:t xml:space="preserve"> </w:t>
      </w:r>
      <w:proofErr w:type="spellStart"/>
      <w:r w:rsidR="00484071" w:rsidRPr="00484071">
        <w:t>Ghuman</w:t>
      </w:r>
      <w:proofErr w:type="spellEnd"/>
      <w:r w:rsidR="00484071" w:rsidRPr="00484071">
        <w:t xml:space="preserve"> </w:t>
      </w:r>
      <w:proofErr w:type="spellStart"/>
      <w:r w:rsidR="00484071" w:rsidRPr="00484071">
        <w:t>Kuljit</w:t>
      </w:r>
      <w:proofErr w:type="spellEnd"/>
      <w:r w:rsidR="00484071" w:rsidRPr="00484071">
        <w:t xml:space="preserve"> Singh</w:t>
      </w:r>
      <w:r w:rsidR="00484071">
        <w:t xml:space="preserve"> 2007, </w:t>
      </w:r>
      <w:r w:rsidR="00484071" w:rsidRPr="00484071">
        <w:t>Effect of Whole-Body Vibration on Vehicle Operators: A Review, Research Scholar, Production Engineering Department, PEC University of Technology, Chandigarh-160012, India.</w:t>
      </w:r>
    </w:p>
    <w:p w:rsidR="00484071" w:rsidRPr="00484071" w:rsidRDefault="00C26B91" w:rsidP="00484071">
      <w:pPr>
        <w:ind w:left="270" w:hanging="270"/>
        <w:jc w:val="both"/>
      </w:pPr>
      <w:r w:rsidRPr="00FD012E">
        <w:rPr>
          <w:bCs/>
        </w:rPr>
        <w:lastRenderedPageBreak/>
        <w:t>[3]</w:t>
      </w:r>
      <w:r w:rsidRPr="004E78D0">
        <w:rPr>
          <w:b/>
          <w:bCs/>
        </w:rPr>
        <w:t xml:space="preserve"> </w:t>
      </w:r>
      <w:r w:rsidR="00484071" w:rsidRPr="00484071">
        <w:t>Cho-Chung LIANG1, Chi-Feng CHIANG</w:t>
      </w:r>
      <w:r w:rsidR="00484071">
        <w:t xml:space="preserve"> 2007, </w:t>
      </w:r>
      <w:r w:rsidR="00484071" w:rsidRPr="00484071">
        <w:t>Modeling of a Seated Human Body Exposed to Vertical Vibrations</w:t>
      </w:r>
      <w:r w:rsidR="00484071">
        <w:t xml:space="preserve"> in Various Automotive Postures</w:t>
      </w:r>
      <w:r w:rsidR="00484071" w:rsidRPr="00484071">
        <w:t xml:space="preserve">, Department of Mechanical and Automation Engineering, </w:t>
      </w:r>
      <w:proofErr w:type="spellStart"/>
      <w:r w:rsidR="00484071" w:rsidRPr="00484071">
        <w:t>Dayeh</w:t>
      </w:r>
      <w:proofErr w:type="spellEnd"/>
      <w:r w:rsidR="00484071" w:rsidRPr="00484071">
        <w:t xml:space="preserve"> University, 112 </w:t>
      </w:r>
      <w:proofErr w:type="spellStart"/>
      <w:r w:rsidR="00484071" w:rsidRPr="00484071">
        <w:t>Shanjiau</w:t>
      </w:r>
      <w:proofErr w:type="spellEnd"/>
      <w:r w:rsidR="00484071" w:rsidRPr="00484071">
        <w:t xml:space="preserve"> Rd., </w:t>
      </w:r>
      <w:proofErr w:type="spellStart"/>
      <w:r w:rsidR="00484071" w:rsidRPr="00484071">
        <w:t>Datsuen</w:t>
      </w:r>
      <w:proofErr w:type="spellEnd"/>
      <w:r w:rsidR="00484071" w:rsidRPr="00484071">
        <w:t>, Changhua, Taiwan 515, R.O.C.</w:t>
      </w:r>
    </w:p>
    <w:p w:rsidR="00484071" w:rsidRPr="00484071" w:rsidRDefault="00484071" w:rsidP="00484071">
      <w:pPr>
        <w:ind w:left="270" w:hanging="270"/>
        <w:jc w:val="both"/>
      </w:pPr>
      <w:r w:rsidRPr="00FD012E">
        <w:rPr>
          <w:bCs/>
        </w:rPr>
        <w:t>[4]</w:t>
      </w:r>
      <w:r w:rsidRPr="004E78D0">
        <w:rPr>
          <w:b/>
          <w:bCs/>
        </w:rPr>
        <w:t xml:space="preserve"> </w:t>
      </w:r>
      <w:proofErr w:type="spellStart"/>
      <w:r w:rsidRPr="00484071">
        <w:t>Katu</w:t>
      </w:r>
      <w:proofErr w:type="spellEnd"/>
      <w:r w:rsidRPr="00484071">
        <w:t xml:space="preserve"> U</w:t>
      </w:r>
      <w:r>
        <w:t xml:space="preserve">.S., </w:t>
      </w:r>
      <w:proofErr w:type="spellStart"/>
      <w:r>
        <w:t>Desavale</w:t>
      </w:r>
      <w:proofErr w:type="spellEnd"/>
      <w:r>
        <w:t xml:space="preserve"> R.G., Kanai R.A. </w:t>
      </w:r>
      <w:r w:rsidRPr="00484071">
        <w:t xml:space="preserve">Effect of Vehicle Vibration on Human Body – RIT Experience, Department of Mechanical </w:t>
      </w:r>
      <w:proofErr w:type="spellStart"/>
      <w:r w:rsidRPr="00484071">
        <w:t>Engg</w:t>
      </w:r>
      <w:proofErr w:type="spellEnd"/>
      <w:r w:rsidRPr="00484071">
        <w:t xml:space="preserve">. </w:t>
      </w:r>
      <w:proofErr w:type="spellStart"/>
      <w:r w:rsidRPr="00484071">
        <w:t>Rajarambapu</w:t>
      </w:r>
      <w:proofErr w:type="spellEnd"/>
      <w:r w:rsidRPr="00484071">
        <w:t xml:space="preserve"> Institute of Technology </w:t>
      </w:r>
      <w:proofErr w:type="spellStart"/>
      <w:r w:rsidRPr="00484071">
        <w:t>Sakharale</w:t>
      </w:r>
      <w:proofErr w:type="spellEnd"/>
      <w:r w:rsidRPr="00484071">
        <w:t>, pp. 415−414.</w:t>
      </w:r>
    </w:p>
    <w:p w:rsidR="00484071" w:rsidRPr="00484071" w:rsidRDefault="00484071" w:rsidP="00484071">
      <w:pPr>
        <w:ind w:left="270" w:hanging="270"/>
        <w:jc w:val="both"/>
      </w:pPr>
      <w:r w:rsidRPr="00FD012E">
        <w:rPr>
          <w:bCs/>
        </w:rPr>
        <w:t>[5]</w:t>
      </w:r>
      <w:r w:rsidRPr="004E78D0">
        <w:rPr>
          <w:b/>
          <w:bCs/>
        </w:rPr>
        <w:t xml:space="preserve"> </w:t>
      </w:r>
      <w:r w:rsidRPr="00484071">
        <w:t xml:space="preserve">Lech J. </w:t>
      </w:r>
      <w:proofErr w:type="spellStart"/>
      <w:r w:rsidRPr="00484071">
        <w:t>Sitnik</w:t>
      </w:r>
      <w:proofErr w:type="spellEnd"/>
      <w:r w:rsidRPr="00484071">
        <w:t xml:space="preserve">, Monika </w:t>
      </w:r>
      <w:proofErr w:type="spellStart"/>
      <w:r w:rsidRPr="00484071">
        <w:t>Magdziak-Tokáowicz</w:t>
      </w:r>
      <w:proofErr w:type="spellEnd"/>
      <w:r w:rsidRPr="00484071">
        <w:t xml:space="preserve">, </w:t>
      </w:r>
      <w:proofErr w:type="spellStart"/>
      <w:r w:rsidRPr="00484071">
        <w:t>Radosáaw</w:t>
      </w:r>
      <w:proofErr w:type="spellEnd"/>
      <w:r w:rsidRPr="00484071">
        <w:t xml:space="preserve"> </w:t>
      </w:r>
      <w:proofErr w:type="spellStart"/>
      <w:r w:rsidRPr="00484071">
        <w:t>Wróbel</w:t>
      </w:r>
      <w:proofErr w:type="spellEnd"/>
      <w:r w:rsidRPr="00484071">
        <w:t xml:space="preserve">, Piotr </w:t>
      </w:r>
      <w:proofErr w:type="spellStart"/>
      <w:r w:rsidRPr="00484071">
        <w:t>Kardasz</w:t>
      </w:r>
      <w:proofErr w:type="spellEnd"/>
      <w:r>
        <w:t xml:space="preserve"> 2015, </w:t>
      </w:r>
      <w:r w:rsidRPr="00484071">
        <w:t xml:space="preserve">Vehicle Vibration </w:t>
      </w:r>
      <w:proofErr w:type="gramStart"/>
      <w:r w:rsidRPr="00484071">
        <w:t>In</w:t>
      </w:r>
      <w:proofErr w:type="gramEnd"/>
      <w:r w:rsidRPr="00484071">
        <w:t xml:space="preserve"> Human Health, Wroclaw University of Technology Institute of Machine Design and Operation </w:t>
      </w:r>
      <w:proofErr w:type="spellStart"/>
      <w:r w:rsidRPr="00484071">
        <w:t>àukasiewicza</w:t>
      </w:r>
      <w:proofErr w:type="spellEnd"/>
      <w:r w:rsidRPr="00484071">
        <w:t xml:space="preserve"> Street 7/9 Wroclaw, Poland, pp, 50−371. </w:t>
      </w:r>
    </w:p>
    <w:p w:rsidR="00484071" w:rsidRPr="00484071" w:rsidRDefault="00484071" w:rsidP="00C26B91">
      <w:pPr>
        <w:ind w:left="270" w:hanging="270"/>
        <w:jc w:val="both"/>
      </w:pPr>
    </w:p>
    <w:p w:rsidR="007D522D" w:rsidRDefault="007D522D"/>
    <w:p w:rsidR="005E5DB6" w:rsidRPr="005E5DB6" w:rsidRDefault="005E5DB6" w:rsidP="005E5DB6">
      <w:pPr>
        <w:pStyle w:val="FigureCaption0"/>
        <w:spacing w:line="252" w:lineRule="auto"/>
        <w:ind w:firstLine="202"/>
        <w:rPr>
          <w:rFonts w:eastAsia="SimSun"/>
          <w:sz w:val="20"/>
          <w:szCs w:val="20"/>
          <w:lang w:eastAsia="zh-CN"/>
        </w:rPr>
      </w:pPr>
    </w:p>
    <w:sectPr w:rsidR="005E5DB6" w:rsidRPr="005E5DB6" w:rsidSect="005A4713">
      <w:type w:val="continuous"/>
      <w:pgSz w:w="11906" w:h="16838"/>
      <w:pgMar w:top="1104" w:right="734" w:bottom="1080" w:left="734" w:header="270" w:footer="432" w:gutter="0"/>
      <w:pgNumType w:start="36"/>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27" w:rsidRDefault="00C55927" w:rsidP="003C5B4F">
      <w:r>
        <w:separator/>
      </w:r>
    </w:p>
  </w:endnote>
  <w:endnote w:type="continuationSeparator" w:id="0">
    <w:p w:rsidR="00C55927" w:rsidRDefault="00C55927"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Gothic"/>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53507"/>
      <w:docPartObj>
        <w:docPartGallery w:val="Page Numbers (Bottom of Page)"/>
        <w:docPartUnique/>
      </w:docPartObj>
    </w:sdtPr>
    <w:sdtEndPr>
      <w:rPr>
        <w:noProof/>
      </w:rPr>
    </w:sdtEndPr>
    <w:sdtContent>
      <w:p w:rsidR="004064D8" w:rsidRDefault="004064D8">
        <w:pPr>
          <w:pStyle w:val="Footer"/>
          <w:jc w:val="right"/>
        </w:pPr>
        <w:r>
          <w:fldChar w:fldCharType="begin"/>
        </w:r>
        <w:r>
          <w:instrText xml:space="preserve"> PAGE   \* MERGEFORMAT </w:instrText>
        </w:r>
        <w:r>
          <w:fldChar w:fldCharType="separate"/>
        </w:r>
        <w:r w:rsidR="0033662F">
          <w:rPr>
            <w:noProof/>
          </w:rPr>
          <w:t>38</w:t>
        </w:r>
        <w:r>
          <w:rPr>
            <w:noProof/>
          </w:rPr>
          <w:fldChar w:fldCharType="end"/>
        </w:r>
      </w:p>
    </w:sdtContent>
  </w:sdt>
  <w:p w:rsidR="004451C3" w:rsidRPr="004A0A72" w:rsidRDefault="004451C3" w:rsidP="00437460">
    <w:pPr>
      <w:pStyle w:val="Footer"/>
      <w:jc w:val="both"/>
      <w:rPr>
        <w:rFonts w:asciiTheme="majorHAnsi" w:hAnsiTheme="majorHAnsi"/>
        <w:sz w:val="6"/>
        <w:lang w:val="en-I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27" w:rsidRDefault="00C55927" w:rsidP="003C5B4F">
      <w:r>
        <w:separator/>
      </w:r>
    </w:p>
  </w:footnote>
  <w:footnote w:type="continuationSeparator" w:id="0">
    <w:p w:rsidR="00C55927" w:rsidRDefault="00C55927" w:rsidP="003C5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AB8" w:rsidRDefault="00965AB8" w:rsidP="00965AB8">
    <w:pPr>
      <w:pStyle w:val="Header"/>
      <w:ind w:right="-2"/>
      <w:jc w:val="right"/>
      <w:rPr>
        <w:b/>
        <w:i/>
        <w:color w:val="000099"/>
      </w:rPr>
    </w:pPr>
  </w:p>
  <w:p w:rsidR="00965AB8" w:rsidRDefault="00965AB8" w:rsidP="00965AB8">
    <w:pPr>
      <w:pStyle w:val="Header"/>
      <w:ind w:right="-2"/>
      <w:jc w:val="right"/>
      <w:rPr>
        <w:b/>
        <w:i/>
        <w:color w:val="000099"/>
      </w:rPr>
    </w:pPr>
  </w:p>
  <w:p w:rsidR="00965AB8" w:rsidRDefault="00965AB8" w:rsidP="00965AB8">
    <w:pPr>
      <w:pStyle w:val="Header"/>
      <w:ind w:right="-2"/>
      <w:jc w:val="right"/>
      <w:rPr>
        <w:i/>
        <w:color w:val="000099"/>
      </w:rPr>
    </w:pPr>
    <w:r>
      <w:rPr>
        <w:b/>
        <w:i/>
        <w:color w:val="000099"/>
      </w:rPr>
      <w:t xml:space="preserve">Indian Journal of </w:t>
    </w:r>
    <w:proofErr w:type="gramStart"/>
    <w:r>
      <w:rPr>
        <w:b/>
        <w:i/>
        <w:color w:val="000099"/>
      </w:rPr>
      <w:t>STEAM  Vol.</w:t>
    </w:r>
    <w:proofErr w:type="gramEnd"/>
    <w:r>
      <w:rPr>
        <w:b/>
        <w:i/>
        <w:color w:val="000099"/>
      </w:rPr>
      <w:t>01 Issue-01 Sept. 2020</w:t>
    </w:r>
  </w:p>
  <w:p w:rsidR="00965AB8" w:rsidRDefault="00965AB8" w:rsidP="00965AB8">
    <w:pPr>
      <w:pStyle w:val="Header"/>
      <w:pBdr>
        <w:bottom w:val="single" w:sz="12" w:space="1" w:color="auto"/>
      </w:pBdr>
      <w:tabs>
        <w:tab w:val="clear" w:pos="9360"/>
        <w:tab w:val="right" w:pos="10800"/>
      </w:tabs>
      <w:jc w:val="both"/>
      <w:rPr>
        <w:rFonts w:ascii="Arial" w:hAnsi="Arial" w:cs="Arial"/>
        <w:b/>
        <w:noProof/>
        <w:color w:val="215868" w:themeColor="accent5" w:themeShade="80"/>
        <w:lang w:val="en-IN"/>
      </w:rPr>
    </w:pPr>
  </w:p>
  <w:p w:rsidR="004064D8" w:rsidRPr="00965AB8" w:rsidRDefault="004064D8" w:rsidP="00965A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F2C00C"/>
    <w:lvl w:ilvl="0">
      <w:start w:val="1"/>
      <w:numFmt w:val="decimal"/>
      <w:lvlText w:val="%1."/>
      <w:lvlJc w:val="left"/>
      <w:pPr>
        <w:tabs>
          <w:tab w:val="num" w:pos="0"/>
        </w:tabs>
        <w:ind w:left="0" w:firstLine="216"/>
      </w:pPr>
      <w:rPr>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02F63993"/>
    <w:multiLevelType w:val="hybridMultilevel"/>
    <w:tmpl w:val="0378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B6CE8"/>
    <w:multiLevelType w:val="hybridMultilevel"/>
    <w:tmpl w:val="16284FFE"/>
    <w:lvl w:ilvl="0" w:tplc="613CC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40B59"/>
    <w:multiLevelType w:val="hybridMultilevel"/>
    <w:tmpl w:val="F096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5735"/>
    <w:multiLevelType w:val="hybridMultilevel"/>
    <w:tmpl w:val="A4B2F418"/>
    <w:lvl w:ilvl="0" w:tplc="C46877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97101"/>
    <w:multiLevelType w:val="hybridMultilevel"/>
    <w:tmpl w:val="1CF2D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534A5E"/>
    <w:multiLevelType w:val="hybridMultilevel"/>
    <w:tmpl w:val="C7E8AE20"/>
    <w:lvl w:ilvl="0" w:tplc="A63E2DC0">
      <w:start w:val="1"/>
      <w:numFmt w:val="upperRoman"/>
      <w:lvlText w:val="%1."/>
      <w:lvlJc w:val="left"/>
      <w:pPr>
        <w:ind w:left="810" w:hanging="720"/>
      </w:pPr>
      <w:rPr>
        <w:rFonts w:hint="default"/>
      </w:rPr>
    </w:lvl>
    <w:lvl w:ilvl="1" w:tplc="6B1228FE" w:tentative="1">
      <w:start w:val="1"/>
      <w:numFmt w:val="lowerLetter"/>
      <w:lvlText w:val="%2."/>
      <w:lvlJc w:val="left"/>
      <w:pPr>
        <w:ind w:left="1170" w:hanging="360"/>
      </w:pPr>
    </w:lvl>
    <w:lvl w:ilvl="2" w:tplc="037AB54E" w:tentative="1">
      <w:start w:val="1"/>
      <w:numFmt w:val="lowerRoman"/>
      <w:lvlText w:val="%3."/>
      <w:lvlJc w:val="right"/>
      <w:pPr>
        <w:ind w:left="1890" w:hanging="180"/>
      </w:pPr>
    </w:lvl>
    <w:lvl w:ilvl="3" w:tplc="F8660100" w:tentative="1">
      <w:start w:val="1"/>
      <w:numFmt w:val="decimal"/>
      <w:lvlText w:val="%4."/>
      <w:lvlJc w:val="left"/>
      <w:pPr>
        <w:ind w:left="2610" w:hanging="360"/>
      </w:pPr>
    </w:lvl>
    <w:lvl w:ilvl="4" w:tplc="AC9679B6" w:tentative="1">
      <w:start w:val="1"/>
      <w:numFmt w:val="lowerLetter"/>
      <w:lvlText w:val="%5."/>
      <w:lvlJc w:val="left"/>
      <w:pPr>
        <w:ind w:left="3330" w:hanging="360"/>
      </w:pPr>
    </w:lvl>
    <w:lvl w:ilvl="5" w:tplc="B8A8B7DA" w:tentative="1">
      <w:start w:val="1"/>
      <w:numFmt w:val="lowerRoman"/>
      <w:lvlText w:val="%6."/>
      <w:lvlJc w:val="right"/>
      <w:pPr>
        <w:ind w:left="4050" w:hanging="180"/>
      </w:pPr>
    </w:lvl>
    <w:lvl w:ilvl="6" w:tplc="B6E607EA" w:tentative="1">
      <w:start w:val="1"/>
      <w:numFmt w:val="decimal"/>
      <w:lvlText w:val="%7."/>
      <w:lvlJc w:val="left"/>
      <w:pPr>
        <w:ind w:left="4770" w:hanging="360"/>
      </w:pPr>
    </w:lvl>
    <w:lvl w:ilvl="7" w:tplc="F994688E" w:tentative="1">
      <w:start w:val="1"/>
      <w:numFmt w:val="lowerLetter"/>
      <w:lvlText w:val="%8."/>
      <w:lvlJc w:val="left"/>
      <w:pPr>
        <w:ind w:left="5490" w:hanging="360"/>
      </w:pPr>
    </w:lvl>
    <w:lvl w:ilvl="8" w:tplc="947CCF2C" w:tentative="1">
      <w:start w:val="1"/>
      <w:numFmt w:val="lowerRoman"/>
      <w:lvlText w:val="%9."/>
      <w:lvlJc w:val="right"/>
      <w:pPr>
        <w:ind w:left="6210" w:hanging="180"/>
      </w:pPr>
    </w:lvl>
  </w:abstractNum>
  <w:abstractNum w:abstractNumId="12" w15:restartNumberingAfterBreak="0">
    <w:nsid w:val="7E166296"/>
    <w:multiLevelType w:val="hybridMultilevel"/>
    <w:tmpl w:val="A50A0FA2"/>
    <w:lvl w:ilvl="0" w:tplc="AFDABC70">
      <w:start w:val="1"/>
      <w:numFmt w:val="decimal"/>
      <w:lvlText w:val="[%1]"/>
      <w:lvlJc w:val="left"/>
      <w:pPr>
        <w:ind w:left="360" w:hanging="360"/>
      </w:pPr>
      <w:rPr>
        <w:rFonts w:hint="default"/>
      </w:rPr>
    </w:lvl>
    <w:lvl w:ilvl="1" w:tplc="922C318E">
      <w:start w:val="1"/>
      <w:numFmt w:val="upperRoman"/>
      <w:lvlText w:val="%2."/>
      <w:lvlJc w:val="left"/>
      <w:pPr>
        <w:ind w:left="1440" w:hanging="720"/>
      </w:pPr>
      <w:rPr>
        <w:rFonts w:hint="default"/>
      </w:rPr>
    </w:lvl>
    <w:lvl w:ilvl="2" w:tplc="8884A912" w:tentative="1">
      <w:start w:val="1"/>
      <w:numFmt w:val="lowerRoman"/>
      <w:lvlText w:val="%3."/>
      <w:lvlJc w:val="right"/>
      <w:pPr>
        <w:ind w:left="1800" w:hanging="180"/>
      </w:pPr>
    </w:lvl>
    <w:lvl w:ilvl="3" w:tplc="96C6A386" w:tentative="1">
      <w:start w:val="1"/>
      <w:numFmt w:val="decimal"/>
      <w:lvlText w:val="%4."/>
      <w:lvlJc w:val="left"/>
      <w:pPr>
        <w:ind w:left="2520" w:hanging="360"/>
      </w:pPr>
    </w:lvl>
    <w:lvl w:ilvl="4" w:tplc="DC1A5100" w:tentative="1">
      <w:start w:val="1"/>
      <w:numFmt w:val="lowerLetter"/>
      <w:lvlText w:val="%5."/>
      <w:lvlJc w:val="left"/>
      <w:pPr>
        <w:ind w:left="3240" w:hanging="360"/>
      </w:pPr>
    </w:lvl>
    <w:lvl w:ilvl="5" w:tplc="D166F372" w:tentative="1">
      <w:start w:val="1"/>
      <w:numFmt w:val="lowerRoman"/>
      <w:lvlText w:val="%6."/>
      <w:lvlJc w:val="right"/>
      <w:pPr>
        <w:ind w:left="3960" w:hanging="180"/>
      </w:pPr>
    </w:lvl>
    <w:lvl w:ilvl="6" w:tplc="1E3AF624" w:tentative="1">
      <w:start w:val="1"/>
      <w:numFmt w:val="decimal"/>
      <w:lvlText w:val="%7."/>
      <w:lvlJc w:val="left"/>
      <w:pPr>
        <w:ind w:left="4680" w:hanging="360"/>
      </w:pPr>
    </w:lvl>
    <w:lvl w:ilvl="7" w:tplc="436268C0" w:tentative="1">
      <w:start w:val="1"/>
      <w:numFmt w:val="lowerLetter"/>
      <w:lvlText w:val="%8."/>
      <w:lvlJc w:val="left"/>
      <w:pPr>
        <w:ind w:left="5400" w:hanging="360"/>
      </w:pPr>
    </w:lvl>
    <w:lvl w:ilvl="8" w:tplc="E9B428DC"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2"/>
  </w:num>
  <w:num w:numId="9">
    <w:abstractNumId w:val="11"/>
  </w:num>
  <w:num w:numId="10">
    <w:abstractNumId w:val="9"/>
  </w:num>
  <w:num w:numId="11">
    <w:abstractNumId w:val="8"/>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D28"/>
    <w:rsid w:val="00016C60"/>
    <w:rsid w:val="000334C0"/>
    <w:rsid w:val="000551EB"/>
    <w:rsid w:val="0008478E"/>
    <w:rsid w:val="000909A4"/>
    <w:rsid w:val="00090C51"/>
    <w:rsid w:val="00090F66"/>
    <w:rsid w:val="00092B52"/>
    <w:rsid w:val="000A1397"/>
    <w:rsid w:val="000B3AC1"/>
    <w:rsid w:val="001048C1"/>
    <w:rsid w:val="001446A1"/>
    <w:rsid w:val="001611D6"/>
    <w:rsid w:val="001965AF"/>
    <w:rsid w:val="001A0B03"/>
    <w:rsid w:val="001A1321"/>
    <w:rsid w:val="001E6AFF"/>
    <w:rsid w:val="001F0D66"/>
    <w:rsid w:val="001F5944"/>
    <w:rsid w:val="00227F35"/>
    <w:rsid w:val="00231136"/>
    <w:rsid w:val="00237F10"/>
    <w:rsid w:val="002964B4"/>
    <w:rsid w:val="002C60BB"/>
    <w:rsid w:val="002D0803"/>
    <w:rsid w:val="002F4DA0"/>
    <w:rsid w:val="00315A5D"/>
    <w:rsid w:val="003165B7"/>
    <w:rsid w:val="00324A8C"/>
    <w:rsid w:val="0033089C"/>
    <w:rsid w:val="0033662F"/>
    <w:rsid w:val="003568B2"/>
    <w:rsid w:val="003659F6"/>
    <w:rsid w:val="0037519A"/>
    <w:rsid w:val="00384A58"/>
    <w:rsid w:val="003867C1"/>
    <w:rsid w:val="003A4DBC"/>
    <w:rsid w:val="003B49B2"/>
    <w:rsid w:val="003C5B4F"/>
    <w:rsid w:val="003D48C8"/>
    <w:rsid w:val="003E6A12"/>
    <w:rsid w:val="00404997"/>
    <w:rsid w:val="004064D8"/>
    <w:rsid w:val="00422153"/>
    <w:rsid w:val="00426065"/>
    <w:rsid w:val="00426691"/>
    <w:rsid w:val="00437460"/>
    <w:rsid w:val="00440668"/>
    <w:rsid w:val="004451C3"/>
    <w:rsid w:val="00484071"/>
    <w:rsid w:val="0048617F"/>
    <w:rsid w:val="004959E9"/>
    <w:rsid w:val="004A0A72"/>
    <w:rsid w:val="004B0F55"/>
    <w:rsid w:val="004C32D7"/>
    <w:rsid w:val="004D20AE"/>
    <w:rsid w:val="004E78D0"/>
    <w:rsid w:val="00515B09"/>
    <w:rsid w:val="00541F15"/>
    <w:rsid w:val="00580A4A"/>
    <w:rsid w:val="00582298"/>
    <w:rsid w:val="00594FA0"/>
    <w:rsid w:val="005A173D"/>
    <w:rsid w:val="005A4713"/>
    <w:rsid w:val="005E1EA1"/>
    <w:rsid w:val="005E35DE"/>
    <w:rsid w:val="005E5DB6"/>
    <w:rsid w:val="005F2963"/>
    <w:rsid w:val="00602C71"/>
    <w:rsid w:val="006112BB"/>
    <w:rsid w:val="0063041E"/>
    <w:rsid w:val="0065306D"/>
    <w:rsid w:val="00655E23"/>
    <w:rsid w:val="00655F3C"/>
    <w:rsid w:val="00674D87"/>
    <w:rsid w:val="00682140"/>
    <w:rsid w:val="00692375"/>
    <w:rsid w:val="00692A38"/>
    <w:rsid w:val="006A0CBE"/>
    <w:rsid w:val="006C5DAA"/>
    <w:rsid w:val="006D4C80"/>
    <w:rsid w:val="0070086A"/>
    <w:rsid w:val="007079C8"/>
    <w:rsid w:val="00737E30"/>
    <w:rsid w:val="00744FBA"/>
    <w:rsid w:val="0076102B"/>
    <w:rsid w:val="00782518"/>
    <w:rsid w:val="007D452E"/>
    <w:rsid w:val="007D522D"/>
    <w:rsid w:val="007E4755"/>
    <w:rsid w:val="00805385"/>
    <w:rsid w:val="00831697"/>
    <w:rsid w:val="0083389A"/>
    <w:rsid w:val="0084797E"/>
    <w:rsid w:val="008572F1"/>
    <w:rsid w:val="00860DA1"/>
    <w:rsid w:val="00872542"/>
    <w:rsid w:val="00883331"/>
    <w:rsid w:val="008A36BA"/>
    <w:rsid w:val="008A6539"/>
    <w:rsid w:val="008C48BD"/>
    <w:rsid w:val="008D547A"/>
    <w:rsid w:val="009004D4"/>
    <w:rsid w:val="00905B07"/>
    <w:rsid w:val="00923A61"/>
    <w:rsid w:val="00942588"/>
    <w:rsid w:val="00947495"/>
    <w:rsid w:val="00965AB8"/>
    <w:rsid w:val="00991FA3"/>
    <w:rsid w:val="00997C03"/>
    <w:rsid w:val="009A1037"/>
    <w:rsid w:val="009A4384"/>
    <w:rsid w:val="009E0DB6"/>
    <w:rsid w:val="00A071CD"/>
    <w:rsid w:val="00A1438C"/>
    <w:rsid w:val="00A41A9B"/>
    <w:rsid w:val="00A43C35"/>
    <w:rsid w:val="00A74A9A"/>
    <w:rsid w:val="00A92761"/>
    <w:rsid w:val="00A9368B"/>
    <w:rsid w:val="00A96917"/>
    <w:rsid w:val="00AE4F5D"/>
    <w:rsid w:val="00AE7AD6"/>
    <w:rsid w:val="00B2063E"/>
    <w:rsid w:val="00B2483C"/>
    <w:rsid w:val="00B420A1"/>
    <w:rsid w:val="00B44AEB"/>
    <w:rsid w:val="00B50533"/>
    <w:rsid w:val="00B51093"/>
    <w:rsid w:val="00B82EDE"/>
    <w:rsid w:val="00BA1F77"/>
    <w:rsid w:val="00BA620B"/>
    <w:rsid w:val="00BB246A"/>
    <w:rsid w:val="00BB37AF"/>
    <w:rsid w:val="00BD67B6"/>
    <w:rsid w:val="00C020F5"/>
    <w:rsid w:val="00C03BCA"/>
    <w:rsid w:val="00C118CE"/>
    <w:rsid w:val="00C15795"/>
    <w:rsid w:val="00C23B92"/>
    <w:rsid w:val="00C26B91"/>
    <w:rsid w:val="00C32C53"/>
    <w:rsid w:val="00C55927"/>
    <w:rsid w:val="00C62F4C"/>
    <w:rsid w:val="00C67D6C"/>
    <w:rsid w:val="00C804AA"/>
    <w:rsid w:val="00C86848"/>
    <w:rsid w:val="00C9534D"/>
    <w:rsid w:val="00C9681C"/>
    <w:rsid w:val="00CC2085"/>
    <w:rsid w:val="00D21527"/>
    <w:rsid w:val="00D26A36"/>
    <w:rsid w:val="00D437C9"/>
    <w:rsid w:val="00D52434"/>
    <w:rsid w:val="00D71D91"/>
    <w:rsid w:val="00D836FA"/>
    <w:rsid w:val="00DA1C9C"/>
    <w:rsid w:val="00DA701A"/>
    <w:rsid w:val="00DD28E4"/>
    <w:rsid w:val="00DD5481"/>
    <w:rsid w:val="00DE765B"/>
    <w:rsid w:val="00E12EBA"/>
    <w:rsid w:val="00E3105C"/>
    <w:rsid w:val="00EB6E6B"/>
    <w:rsid w:val="00EF674B"/>
    <w:rsid w:val="00EF683D"/>
    <w:rsid w:val="00EF7DB0"/>
    <w:rsid w:val="00F06556"/>
    <w:rsid w:val="00F219F1"/>
    <w:rsid w:val="00F2713B"/>
    <w:rsid w:val="00F350F9"/>
    <w:rsid w:val="00F4168E"/>
    <w:rsid w:val="00F96357"/>
    <w:rsid w:val="00FB1E65"/>
    <w:rsid w:val="00FD012E"/>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FC496"/>
  <w15:docId w15:val="{DE6EF73E-B7CF-41FA-8435-171BCD20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nhideWhenUsed/>
    <w:rsid w:val="003C5B4F"/>
    <w:pPr>
      <w:tabs>
        <w:tab w:val="center" w:pos="4680"/>
        <w:tab w:val="right" w:pos="9360"/>
      </w:tabs>
    </w:pPr>
  </w:style>
  <w:style w:type="character" w:customStyle="1" w:styleId="HeaderChar">
    <w:name w:val="Header Char"/>
    <w:basedOn w:val="DefaultParagraphFont"/>
    <w:link w:val="Header"/>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 w:type="paragraph" w:customStyle="1" w:styleId="FigureCaption0">
    <w:name w:val="Figure Caption"/>
    <w:basedOn w:val="Normal"/>
    <w:rsid w:val="005E5DB6"/>
    <w:pPr>
      <w:suppressAutoHyphens w:val="0"/>
      <w:autoSpaceDE w:val="0"/>
      <w:autoSpaceDN w:val="0"/>
      <w:jc w:val="both"/>
    </w:pPr>
    <w:rPr>
      <w:rFonts w:eastAsia="PMingLiU"/>
      <w:sz w:val="16"/>
      <w:szCs w:val="16"/>
      <w:lang w:eastAsia="en-US"/>
    </w:rPr>
  </w:style>
  <w:style w:type="paragraph" w:customStyle="1" w:styleId="Normal1">
    <w:name w:val="Normal1"/>
    <w:rsid w:val="00C67D6C"/>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961">
      <w:bodyDiv w:val="1"/>
      <w:marLeft w:val="0"/>
      <w:marRight w:val="0"/>
      <w:marTop w:val="0"/>
      <w:marBottom w:val="0"/>
      <w:divBdr>
        <w:top w:val="none" w:sz="0" w:space="0" w:color="auto"/>
        <w:left w:val="none" w:sz="0" w:space="0" w:color="auto"/>
        <w:bottom w:val="none" w:sz="0" w:space="0" w:color="auto"/>
        <w:right w:val="none" w:sz="0" w:space="0" w:color="auto"/>
      </w:divBdr>
    </w:div>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5548-0B76-4673-898C-1FE5EE1C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IJRAR Research Journal</vt:lpstr>
    </vt:vector>
  </TitlesOfParts>
  <Company>www.ijrti.org</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IJRAR Research Journal</dc:title>
  <dc:subject>IJRAR Research Journal</dc:subject>
  <dc:creator>IJRAR Research Journal</dc:creator>
  <cp:keywords>IJRAR Research Journal</cp:keywords>
  <dc:description>IJRAR Research Journal</dc:description>
  <cp:lastModifiedBy>pc</cp:lastModifiedBy>
  <cp:revision>6</cp:revision>
  <cp:lastPrinted>2020-09-04T16:57:00Z</cp:lastPrinted>
  <dcterms:created xsi:type="dcterms:W3CDTF">2020-09-26T04:47:00Z</dcterms:created>
  <dcterms:modified xsi:type="dcterms:W3CDTF">2020-10-09T06:35:00Z</dcterms:modified>
  <cp:category>IJRAR Research Journal</cp:category>
  <cp:contentStatus>IJRAR Research Journal</cp:contentStatus>
</cp:coreProperties>
</file>